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大厂回族自治县北辰街道办事处</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rPr>
        <w:t>大厂回族自治县北辰</w:t>
      </w:r>
      <w:r>
        <w:rPr>
          <w:rFonts w:ascii="仿宋" w:hAnsi="仿宋" w:eastAsia="仿宋" w:cs="Times New Roman"/>
          <w:sz w:val="32"/>
          <w:szCs w:val="32"/>
        </w:rPr>
        <w:t>街道办事处20</w:t>
      </w:r>
      <w:r>
        <w:rPr>
          <w:rFonts w:hint="eastAsia" w:ascii="仿宋" w:hAnsi="仿宋" w:eastAsia="仿宋" w:cs="Times New Roman"/>
          <w:sz w:val="32"/>
          <w:szCs w:val="32"/>
        </w:rPr>
        <w:t>22</w:t>
      </w:r>
      <w:r>
        <w:rPr>
          <w:rFonts w:ascii="仿宋" w:hAnsi="仿宋" w:eastAsia="仿宋" w:cs="Times New Roman"/>
          <w:sz w:val="32"/>
          <w:szCs w:val="32"/>
        </w:rPr>
        <w:t>年部门预算公开如下：</w:t>
      </w: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一、部门职责及机构设置情况</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部门职责：</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根据《街道办职能配置、内设机构和人员编制规定》，街道办的主要职责是：</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640" w:firstLineChars="200"/>
        <w:rPr>
          <w:rFonts w:ascii="Times New Roman" w:hAnsi="Times New Roman" w:cs="Times New Roman"/>
          <w:kern w:val="0"/>
          <w:sz w:val="32"/>
          <w:szCs w:val="32"/>
        </w:rPr>
      </w:pPr>
      <w:r>
        <w:rPr>
          <w:rFonts w:hint="eastAsia" w:ascii="仿宋" w:hAnsi="仿宋" w:eastAsia="仿宋" w:cs="仿宋"/>
          <w:kern w:val="0"/>
          <w:sz w:val="32"/>
          <w:szCs w:val="32"/>
        </w:rPr>
        <w:t>（一）宣传贯彻执行党的路线方针政策和党中央、上级党组织的决议。贯彻执行法律、法规、规章和上级人民代表大会及其常务委员会决议及上级政府的决定、命令，依法管理辖区公共事务。</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640" w:firstLineChars="200"/>
        <w:rPr>
          <w:rFonts w:ascii="Times New Roman" w:hAnsi="Times New Roman" w:cs="Times New Roman"/>
          <w:kern w:val="0"/>
          <w:sz w:val="32"/>
          <w:szCs w:val="32"/>
        </w:rPr>
      </w:pPr>
      <w:r>
        <w:rPr>
          <w:rFonts w:hint="eastAsia" w:ascii="仿宋" w:hAnsi="仿宋" w:eastAsia="仿宋" w:cs="仿宋"/>
          <w:kern w:val="0"/>
          <w:sz w:val="32"/>
          <w:szCs w:val="32"/>
        </w:rPr>
        <w:t>（二）讨论并决定本街道重大问题，统筹、协调辖区单位和组织，团结、组织党内外干部和群众，抓好决策部署的组织实施和督促落实。组织实施与居民生活密切相关的公共服务，落实民政民生、卫生健康、住房保障、就业创业、社会保障、文化教育和体育事业等政策。</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645"/>
        <w:rPr>
          <w:rFonts w:ascii="Times New Roman" w:hAnsi="Times New Roman" w:cs="Times New Roman"/>
          <w:kern w:val="0"/>
          <w:sz w:val="32"/>
          <w:szCs w:val="32"/>
        </w:rPr>
      </w:pPr>
      <w:r>
        <w:rPr>
          <w:rFonts w:hint="eastAsia" w:ascii="仿宋" w:hAnsi="仿宋" w:eastAsia="仿宋" w:cs="仿宋"/>
          <w:kern w:val="0"/>
          <w:sz w:val="32"/>
          <w:szCs w:val="32"/>
        </w:rPr>
        <w:t>（三）负责办理上级人大常委会交办的监督、选举以及其他工作，做好人大代表工作，联系选民、反映群众意见和要求。</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645"/>
        <w:rPr>
          <w:rFonts w:ascii="Times New Roman" w:hAnsi="Times New Roman" w:cs="Times New Roman"/>
          <w:kern w:val="0"/>
          <w:sz w:val="32"/>
          <w:szCs w:val="32"/>
        </w:rPr>
      </w:pPr>
      <w:r>
        <w:rPr>
          <w:rFonts w:hint="eastAsia" w:ascii="仿宋" w:hAnsi="仿宋" w:eastAsia="仿宋" w:cs="仿宋"/>
          <w:kern w:val="0"/>
          <w:sz w:val="32"/>
          <w:szCs w:val="32"/>
        </w:rPr>
        <w:t>（四）加强街道党工委自身建设和基层党组织建设，履行全面从严治党主体责任，建立健全党建联席会议制度，全面推进辖区党的政治建设、思想建设、组织建设、作风建设、纪律建设，把制度建设贯彻其中，组织开展党风廉政建设和反腐败工作。</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645"/>
        <w:rPr>
          <w:rFonts w:ascii="Times New Roman" w:hAnsi="Times New Roman" w:cs="Times New Roman"/>
          <w:kern w:val="0"/>
          <w:sz w:val="32"/>
          <w:szCs w:val="32"/>
        </w:rPr>
      </w:pPr>
      <w:r>
        <w:rPr>
          <w:rFonts w:hint="eastAsia" w:ascii="仿宋" w:hAnsi="仿宋" w:eastAsia="仿宋" w:cs="仿宋"/>
          <w:kern w:val="0"/>
          <w:sz w:val="32"/>
          <w:szCs w:val="32"/>
        </w:rPr>
        <w:t>（五）街道党工委领导群团组织，加强指导和规范，支持和保证群团组织依照国家法律法规以及各自章程履行职责。坚持党管武装的根本原则和制度，协调各方力量，对街道人民武装工作实行统一领导。</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645"/>
        <w:rPr>
          <w:rFonts w:ascii="Times New Roman" w:hAnsi="Times New Roman" w:cs="Times New Roman"/>
          <w:kern w:val="0"/>
          <w:sz w:val="32"/>
          <w:szCs w:val="32"/>
        </w:rPr>
      </w:pPr>
      <w:r>
        <w:rPr>
          <w:rFonts w:hint="eastAsia" w:ascii="仿宋" w:hAnsi="仿宋" w:eastAsia="仿宋" w:cs="仿宋"/>
          <w:kern w:val="0"/>
          <w:sz w:val="32"/>
          <w:szCs w:val="32"/>
        </w:rPr>
        <w:t>（六）指导居民委员会等基层群众性自治组织建设，健全自治平台。组织动员社区居民、单位和社会力量参与社区治理，整合辖区内社会力量，形成社区共治合力，为社区发展服务。对社区工作者队伍进行教育管理。</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803"/>
        <w:rPr>
          <w:rFonts w:ascii="Times New Roman" w:hAnsi="Times New Roman" w:cs="Times New Roman"/>
          <w:kern w:val="0"/>
          <w:sz w:val="32"/>
          <w:szCs w:val="32"/>
        </w:rPr>
      </w:pPr>
      <w:r>
        <w:rPr>
          <w:rFonts w:ascii="仿宋" w:eastAsia="仿宋" w:cs="仿宋"/>
          <w:kern w:val="0"/>
          <w:sz w:val="32"/>
          <w:szCs w:val="32"/>
        </w:rPr>
        <w:t>(</w:t>
      </w:r>
      <w:r>
        <w:rPr>
          <w:rFonts w:hint="eastAsia" w:ascii="仿宋" w:hAnsi="仿宋" w:eastAsia="仿宋" w:cs="仿宋"/>
          <w:kern w:val="0"/>
          <w:sz w:val="32"/>
          <w:szCs w:val="32"/>
        </w:rPr>
        <w:t>七</w:t>
      </w:r>
      <w:r>
        <w:rPr>
          <w:rFonts w:ascii="仿宋" w:hAnsi="仿宋" w:eastAsia="仿宋" w:cs="仿宋"/>
          <w:kern w:val="0"/>
          <w:sz w:val="32"/>
          <w:szCs w:val="32"/>
        </w:rPr>
        <w:t>)</w:t>
      </w:r>
      <w:r>
        <w:rPr>
          <w:rFonts w:hint="eastAsia" w:ascii="仿宋" w:hAnsi="仿宋" w:eastAsia="仿宋" w:cs="仿宋"/>
          <w:kern w:val="0"/>
          <w:sz w:val="32"/>
          <w:szCs w:val="32"/>
        </w:rPr>
        <w:t>按照管理权限，对街道机关及所属单位干部进行教育、培训、选拔、考核和监督，对上级政府职能部门派出机构的工作考核和主要负责同志任免提出意见。</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645"/>
        <w:rPr>
          <w:rFonts w:ascii="Times New Roman" w:hAnsi="Times New Roman" w:cs="Times New Roman"/>
          <w:kern w:val="0"/>
          <w:sz w:val="32"/>
          <w:szCs w:val="32"/>
        </w:rPr>
      </w:pPr>
      <w:r>
        <w:rPr>
          <w:rFonts w:hint="eastAsia" w:ascii="仿宋" w:hAnsi="仿宋" w:eastAsia="仿宋" w:cs="仿宋"/>
          <w:kern w:val="0"/>
          <w:sz w:val="32"/>
          <w:szCs w:val="32"/>
        </w:rPr>
        <w:t>（八）组织维护辖区安全稳定，协调推动社会治安综合治理，做好应急管理、民族宗教工作，承担民兵预备役、征兵、退役军人服务、拥军优属、防范邪教等工作。</w:t>
      </w:r>
      <w:r>
        <w:rPr>
          <w:rFonts w:ascii="仿宋" w:hAnsi="仿宋" w:eastAsia="仿宋" w:cs="仿宋"/>
          <w:kern w:val="0"/>
          <w:sz w:val="32"/>
          <w:szCs w:val="32"/>
        </w:rPr>
        <w:t xml:space="preserve">      </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645"/>
        <w:rPr>
          <w:rFonts w:ascii="Times New Roman" w:hAnsi="Times New Roman" w:cs="Times New Roman"/>
          <w:kern w:val="0"/>
          <w:sz w:val="32"/>
          <w:szCs w:val="32"/>
        </w:rPr>
      </w:pPr>
      <w:r>
        <w:rPr>
          <w:rFonts w:hint="eastAsia" w:ascii="仿宋" w:hAnsi="仿宋" w:eastAsia="仿宋" w:cs="仿宋"/>
          <w:kern w:val="0"/>
          <w:sz w:val="32"/>
          <w:szCs w:val="32"/>
        </w:rPr>
        <w:t>（九）组织开展群众性文化、体育、科普活动，开展法治宣传和社会公德教育，推动社区公益事业发展。维护老年人、妇女、未成年人、残疾人等合法权益。</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645"/>
        <w:rPr>
          <w:rFonts w:ascii="Times New Roman" w:hAnsi="Times New Roman" w:cs="Times New Roman"/>
          <w:kern w:val="0"/>
          <w:sz w:val="32"/>
          <w:szCs w:val="32"/>
        </w:rPr>
      </w:pPr>
      <w:r>
        <w:rPr>
          <w:rFonts w:hint="eastAsia" w:ascii="仿宋" w:hAnsi="仿宋" w:eastAsia="仿宋" w:cs="仿宋"/>
          <w:kern w:val="0"/>
          <w:sz w:val="32"/>
          <w:szCs w:val="32"/>
        </w:rPr>
        <w:t>（十）参与辖区设施规划、建设和验收，综合管理、统筹调度和考核督办涉及辖区的公共事务，按照有关规定统筹使用下沉到街道社区的人财物等资源。</w:t>
      </w:r>
    </w:p>
    <w:p>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580" w:lineRule="exact"/>
        <w:ind w:firstLine="645"/>
        <w:rPr>
          <w:rFonts w:ascii="Times New Roman" w:hAnsi="Times New Roman" w:cs="Times New Roman"/>
          <w:kern w:val="0"/>
          <w:sz w:val="32"/>
          <w:szCs w:val="32"/>
        </w:rPr>
      </w:pPr>
      <w:r>
        <w:rPr>
          <w:rFonts w:hint="eastAsia" w:ascii="仿宋" w:hAnsi="仿宋" w:eastAsia="仿宋" w:cs="仿宋"/>
          <w:kern w:val="0"/>
          <w:sz w:val="32"/>
          <w:szCs w:val="32"/>
        </w:rPr>
        <w:t>（十一）承办上级党委、人大、政府交办的其他事项。</w:t>
      </w:r>
    </w:p>
    <w:p>
      <w:pPr>
        <w:widowControl/>
        <w:autoSpaceDE w:val="0"/>
        <w:autoSpaceDN w:val="0"/>
        <w:adjustRightInd w:val="0"/>
        <w:jc w:val="left"/>
        <w:rPr>
          <w:rFonts w:ascii="Times New Roman" w:hAnsi="Times New Roman" w:cs="Times New Roman"/>
          <w:kern w:val="0"/>
          <w:sz w:val="32"/>
          <w:szCs w:val="32"/>
        </w:rPr>
      </w:pPr>
    </w:p>
    <w:p/>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机构设置：</w:t>
      </w:r>
    </w:p>
    <w:p>
      <w:pPr>
        <w:spacing w:line="584" w:lineRule="exact"/>
        <w:jc w:val="center"/>
        <w:outlineLvl w:val="0"/>
        <w:rPr>
          <w:rFonts w:ascii="仿宋" w:hAnsi="仿宋" w:eastAsia="仿宋" w:cs="Times New Roman"/>
          <w:b/>
          <w:sz w:val="32"/>
          <w:szCs w:val="24"/>
        </w:rPr>
      </w:pPr>
      <w:r>
        <w:rPr>
          <w:rFonts w:ascii="仿宋" w:hAnsi="仿宋" w:eastAsia="仿宋" w:cs="Times New Roman"/>
          <w:b/>
          <w:sz w:val="32"/>
          <w:szCs w:val="24"/>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36"/>
        <w:gridCol w:w="1134"/>
        <w:gridCol w:w="1276"/>
        <w:gridCol w:w="28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436" w:type="dxa"/>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单位名称</w:t>
            </w:r>
          </w:p>
        </w:tc>
        <w:tc>
          <w:tcPr>
            <w:tcW w:w="1134" w:type="dxa"/>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单位性质</w:t>
            </w:r>
          </w:p>
        </w:tc>
        <w:tc>
          <w:tcPr>
            <w:tcW w:w="1276" w:type="dxa"/>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单位规格</w:t>
            </w:r>
          </w:p>
        </w:tc>
        <w:tc>
          <w:tcPr>
            <w:tcW w:w="2865" w:type="dxa"/>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36"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大厂回族自治县北辰街道办事处</w:t>
            </w:r>
          </w:p>
        </w:tc>
        <w:tc>
          <w:tcPr>
            <w:tcW w:w="1134"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行政</w:t>
            </w:r>
          </w:p>
        </w:tc>
        <w:tc>
          <w:tcPr>
            <w:tcW w:w="1276"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正科级</w:t>
            </w:r>
          </w:p>
        </w:tc>
        <w:tc>
          <w:tcPr>
            <w:tcW w:w="2865" w:type="dxa"/>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部门预算的编制实行综合预算制度，即全部收入和支出都反映在预算中。</w:t>
      </w:r>
      <w:r>
        <w:rPr>
          <w:rFonts w:hint="eastAsia" w:ascii="仿宋" w:hAnsi="仿宋" w:eastAsia="仿宋" w:cs="Times New Roman"/>
          <w:sz w:val="32"/>
          <w:szCs w:val="32"/>
        </w:rPr>
        <w:t>大厂回族自治县北辰街道办事处</w:t>
      </w:r>
      <w:r>
        <w:rPr>
          <w:rFonts w:ascii="仿宋" w:hAnsi="仿宋" w:eastAsia="仿宋" w:cs="Times New Roman"/>
          <w:sz w:val="32"/>
          <w:szCs w:val="32"/>
        </w:rPr>
        <w:t>机关的收支包含在部门预算中。</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1、收入说明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反映本部门当年全部收入。20</w:t>
      </w:r>
      <w:r>
        <w:rPr>
          <w:rFonts w:hint="eastAsia" w:ascii="仿宋" w:hAnsi="仿宋" w:eastAsia="仿宋" w:cs="Times New Roman"/>
          <w:sz w:val="32"/>
          <w:szCs w:val="32"/>
        </w:rPr>
        <w:t>22</w:t>
      </w:r>
      <w:r>
        <w:rPr>
          <w:rFonts w:ascii="仿宋" w:hAnsi="仿宋" w:eastAsia="仿宋" w:cs="Times New Roman"/>
          <w:sz w:val="32"/>
          <w:szCs w:val="32"/>
        </w:rPr>
        <w:t>年预算收入</w:t>
      </w:r>
      <w:r>
        <w:rPr>
          <w:rFonts w:hint="eastAsia" w:ascii="仿宋" w:hAnsi="仿宋" w:eastAsia="仿宋" w:cs="Times New Roman"/>
          <w:sz w:val="32"/>
          <w:szCs w:val="32"/>
        </w:rPr>
        <w:t>2447.87</w:t>
      </w:r>
      <w:r>
        <w:rPr>
          <w:rFonts w:ascii="仿宋" w:hAnsi="仿宋" w:eastAsia="仿宋" w:cs="Times New Roman"/>
          <w:sz w:val="32"/>
          <w:szCs w:val="32"/>
        </w:rPr>
        <w:t>万元，其中：一般公共预算收入</w:t>
      </w:r>
      <w:r>
        <w:rPr>
          <w:rFonts w:hint="eastAsia" w:ascii="仿宋" w:hAnsi="仿宋" w:eastAsia="仿宋" w:cs="Times New Roman"/>
          <w:sz w:val="32"/>
          <w:szCs w:val="32"/>
        </w:rPr>
        <w:t>2446.79</w:t>
      </w:r>
      <w:r>
        <w:rPr>
          <w:rFonts w:ascii="仿宋" w:hAnsi="仿宋" w:eastAsia="仿宋" w:cs="Times New Roman"/>
          <w:sz w:val="32"/>
          <w:szCs w:val="32"/>
        </w:rPr>
        <w:t>万元，基金预算收入</w:t>
      </w:r>
      <w:r>
        <w:rPr>
          <w:rFonts w:hint="eastAsia" w:ascii="仿宋" w:hAnsi="仿宋" w:eastAsia="仿宋" w:cs="Times New Roman"/>
          <w:sz w:val="32"/>
          <w:szCs w:val="32"/>
        </w:rPr>
        <w:t>0</w:t>
      </w:r>
      <w:r>
        <w:rPr>
          <w:rFonts w:ascii="仿宋" w:hAnsi="仿宋" w:eastAsia="仿宋" w:cs="Times New Roman"/>
          <w:sz w:val="32"/>
          <w:szCs w:val="32"/>
        </w:rPr>
        <w:t>万元，财政专户核拨收入</w:t>
      </w:r>
      <w:r>
        <w:rPr>
          <w:rFonts w:hint="eastAsia" w:ascii="仿宋" w:hAnsi="仿宋" w:eastAsia="仿宋" w:cs="Times New Roman"/>
          <w:sz w:val="32"/>
          <w:szCs w:val="32"/>
        </w:rPr>
        <w:t>0</w:t>
      </w:r>
      <w:r>
        <w:rPr>
          <w:rFonts w:ascii="仿宋" w:hAnsi="仿宋" w:eastAsia="仿宋" w:cs="Times New Roman"/>
          <w:sz w:val="32"/>
          <w:szCs w:val="32"/>
        </w:rPr>
        <w:t>万元，其他来源收入</w:t>
      </w:r>
      <w:r>
        <w:rPr>
          <w:rFonts w:hint="eastAsia" w:ascii="仿宋" w:hAnsi="仿宋" w:eastAsia="仿宋" w:cs="Times New Roman"/>
          <w:sz w:val="32"/>
          <w:szCs w:val="32"/>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w:t>
      </w:r>
      <w:r>
        <w:rPr>
          <w:rFonts w:hint="eastAsia" w:ascii="仿宋" w:hAnsi="仿宋" w:eastAsia="仿宋" w:cs="Times New Roman"/>
          <w:sz w:val="32"/>
          <w:szCs w:val="32"/>
        </w:rPr>
        <w:t>1.07万元</w:t>
      </w:r>
      <w:r>
        <w:rPr>
          <w:rFonts w:ascii="仿宋" w:hAnsi="仿宋" w:eastAsia="仿宋" w:cs="Times New Roman"/>
          <w:sz w:val="32"/>
          <w:szCs w:val="32"/>
        </w:rPr>
        <w:t>。</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2、支出说明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大厂回族自治县2022</w:t>
      </w:r>
      <w:r>
        <w:rPr>
          <w:rFonts w:ascii="仿宋" w:hAnsi="仿宋" w:eastAsia="仿宋" w:cs="Times New Roman"/>
          <w:sz w:val="32"/>
          <w:szCs w:val="32"/>
        </w:rPr>
        <w:t>年度部门预算中支出预算的总体情况。20</w:t>
      </w:r>
      <w:r>
        <w:rPr>
          <w:rFonts w:hint="eastAsia" w:ascii="仿宋" w:hAnsi="仿宋" w:eastAsia="仿宋" w:cs="Times New Roman"/>
          <w:sz w:val="32"/>
          <w:szCs w:val="32"/>
        </w:rPr>
        <w:t>22</w:t>
      </w:r>
      <w:r>
        <w:rPr>
          <w:rFonts w:ascii="仿宋" w:hAnsi="仿宋" w:eastAsia="仿宋" w:cs="Times New Roman"/>
          <w:sz w:val="32"/>
          <w:szCs w:val="32"/>
        </w:rPr>
        <w:t>年支出预算</w:t>
      </w:r>
      <w:r>
        <w:rPr>
          <w:rFonts w:hint="eastAsia" w:ascii="仿宋" w:hAnsi="仿宋" w:eastAsia="仿宋" w:cs="Times New Roman"/>
          <w:sz w:val="32"/>
          <w:szCs w:val="32"/>
        </w:rPr>
        <w:t>2447.87</w:t>
      </w:r>
      <w:r>
        <w:rPr>
          <w:rFonts w:ascii="仿宋" w:hAnsi="仿宋" w:eastAsia="仿宋" w:cs="Times New Roman"/>
          <w:sz w:val="32"/>
          <w:szCs w:val="32"/>
        </w:rPr>
        <w:t>万元，其中基本支出</w:t>
      </w:r>
      <w:r>
        <w:rPr>
          <w:rFonts w:hint="eastAsia" w:ascii="仿宋" w:hAnsi="仿宋" w:eastAsia="仿宋" w:cs="Times New Roman"/>
          <w:sz w:val="32"/>
          <w:szCs w:val="32"/>
        </w:rPr>
        <w:t>674.97</w:t>
      </w:r>
      <w:r>
        <w:rPr>
          <w:rFonts w:ascii="仿宋" w:hAnsi="仿宋" w:eastAsia="仿宋" w:cs="Times New Roman"/>
          <w:sz w:val="32"/>
          <w:szCs w:val="32"/>
        </w:rPr>
        <w:t>万元，包括人员类项目经费</w:t>
      </w:r>
      <w:r>
        <w:rPr>
          <w:rFonts w:hint="eastAsia" w:ascii="仿宋" w:hAnsi="仿宋" w:eastAsia="仿宋" w:cs="Times New Roman"/>
          <w:sz w:val="32"/>
          <w:szCs w:val="32"/>
        </w:rPr>
        <w:t>578.01</w:t>
      </w:r>
      <w:r>
        <w:rPr>
          <w:rFonts w:ascii="仿宋" w:hAnsi="仿宋" w:eastAsia="仿宋" w:cs="Times New Roman"/>
          <w:sz w:val="32"/>
          <w:szCs w:val="32"/>
        </w:rPr>
        <w:t>万元和</w:t>
      </w:r>
      <w:r>
        <w:rPr>
          <w:rFonts w:hint="eastAsia" w:ascii="仿宋" w:hAnsi="仿宋" w:eastAsia="仿宋" w:cs="Times New Roman"/>
          <w:sz w:val="32"/>
          <w:szCs w:val="32"/>
        </w:rPr>
        <w:t>运转类</w:t>
      </w:r>
      <w:r>
        <w:rPr>
          <w:rFonts w:ascii="仿宋" w:hAnsi="仿宋" w:eastAsia="仿宋" w:cs="Times New Roman"/>
          <w:sz w:val="32"/>
          <w:szCs w:val="32"/>
        </w:rPr>
        <w:t>公用项目经费</w:t>
      </w:r>
      <w:r>
        <w:rPr>
          <w:rFonts w:hint="eastAsia" w:ascii="仿宋" w:hAnsi="仿宋" w:eastAsia="仿宋" w:cs="Times New Roman"/>
          <w:sz w:val="32"/>
          <w:szCs w:val="32"/>
        </w:rPr>
        <w:t>96.96</w:t>
      </w:r>
      <w:r>
        <w:rPr>
          <w:rFonts w:ascii="仿宋" w:hAnsi="仿宋" w:eastAsia="仿宋" w:cs="Times New Roman"/>
          <w:sz w:val="32"/>
          <w:szCs w:val="32"/>
        </w:rPr>
        <w:t>万元；运转类其他及特定目标类项目支出</w:t>
      </w:r>
      <w:r>
        <w:rPr>
          <w:rFonts w:hint="eastAsia" w:ascii="仿宋" w:hAnsi="仿宋" w:eastAsia="仿宋" w:cs="Times New Roman"/>
          <w:sz w:val="32"/>
          <w:szCs w:val="32"/>
        </w:rPr>
        <w:t>1772.9</w:t>
      </w:r>
      <w:r>
        <w:rPr>
          <w:rFonts w:ascii="仿宋" w:hAnsi="仿宋" w:eastAsia="仿宋" w:cs="Times New Roman"/>
          <w:sz w:val="32"/>
          <w:szCs w:val="32"/>
        </w:rPr>
        <w:t>万元，包括本级支出，主要为</w:t>
      </w:r>
      <w:r>
        <w:rPr>
          <w:rFonts w:hint="eastAsia" w:ascii="仿宋" w:hAnsi="仿宋" w:eastAsia="仿宋" w:cs="Times New Roman"/>
          <w:sz w:val="32"/>
          <w:szCs w:val="32"/>
        </w:rPr>
        <w:t>社区服务党组织专项经费</w:t>
      </w:r>
      <w:r>
        <w:rPr>
          <w:rFonts w:ascii="仿宋" w:hAnsi="仿宋" w:eastAsia="仿宋" w:cs="Times New Roman"/>
          <w:sz w:val="32"/>
          <w:szCs w:val="32"/>
        </w:rPr>
        <w:t>、新文明实践所经费、</w:t>
      </w:r>
      <w:r>
        <w:rPr>
          <w:rFonts w:hint="eastAsia" w:ascii="仿宋" w:hAnsi="仿宋" w:eastAsia="仿宋" w:cs="Times New Roman"/>
          <w:sz w:val="32"/>
          <w:szCs w:val="32"/>
        </w:rPr>
        <w:t>社区工作经费</w:t>
      </w:r>
      <w:r>
        <w:rPr>
          <w:rFonts w:ascii="仿宋" w:hAnsi="仿宋" w:eastAsia="仿宋" w:cs="Times New Roman"/>
          <w:sz w:val="32"/>
          <w:szCs w:val="32"/>
        </w:rPr>
        <w:t>等。</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3、比上年增减情况</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年预算收支安排</w:t>
      </w:r>
      <w:r>
        <w:rPr>
          <w:rFonts w:hint="eastAsia" w:ascii="仿宋" w:hAnsi="仿宋" w:eastAsia="仿宋" w:cs="Times New Roman"/>
          <w:sz w:val="32"/>
          <w:szCs w:val="32"/>
        </w:rPr>
        <w:t>2446.79</w:t>
      </w:r>
      <w:r>
        <w:rPr>
          <w:rFonts w:ascii="仿宋" w:hAnsi="仿宋" w:eastAsia="仿宋" w:cs="Times New Roman"/>
          <w:sz w:val="32"/>
          <w:szCs w:val="32"/>
        </w:rPr>
        <w:t>万元，较20</w:t>
      </w:r>
      <w:r>
        <w:rPr>
          <w:rFonts w:hint="eastAsia" w:ascii="仿宋" w:hAnsi="仿宋" w:eastAsia="仿宋" w:cs="Times New Roman"/>
          <w:sz w:val="32"/>
          <w:szCs w:val="32"/>
        </w:rPr>
        <w:t>21</w:t>
      </w:r>
      <w:r>
        <w:rPr>
          <w:rFonts w:ascii="仿宋" w:hAnsi="仿宋" w:eastAsia="仿宋" w:cs="Times New Roman"/>
          <w:sz w:val="32"/>
          <w:szCs w:val="32"/>
        </w:rPr>
        <w:t>年预算减少</w:t>
      </w:r>
      <w:r>
        <w:rPr>
          <w:rFonts w:hint="eastAsia" w:ascii="仿宋" w:hAnsi="仿宋" w:eastAsia="仿宋" w:cs="Times New Roman"/>
          <w:sz w:val="32"/>
          <w:szCs w:val="32"/>
        </w:rPr>
        <w:t>916.22</w:t>
      </w:r>
      <w:r>
        <w:rPr>
          <w:rFonts w:ascii="仿宋" w:hAnsi="仿宋" w:eastAsia="仿宋" w:cs="Times New Roman"/>
          <w:sz w:val="32"/>
          <w:szCs w:val="32"/>
        </w:rPr>
        <w:t>万元，其中：基本支出减少</w:t>
      </w:r>
      <w:r>
        <w:rPr>
          <w:rFonts w:hint="eastAsia" w:ascii="仿宋" w:hAnsi="仿宋" w:eastAsia="仿宋" w:cs="Times New Roman"/>
          <w:sz w:val="32"/>
          <w:szCs w:val="32"/>
        </w:rPr>
        <w:t>3.93</w:t>
      </w:r>
      <w:r>
        <w:rPr>
          <w:rFonts w:ascii="仿宋" w:hAnsi="仿宋" w:eastAsia="仿宋" w:cs="Times New Roman"/>
          <w:sz w:val="32"/>
          <w:szCs w:val="32"/>
        </w:rPr>
        <w:t>万元，主要为</w:t>
      </w:r>
      <w:r>
        <w:rPr>
          <w:rFonts w:hint="eastAsia" w:ascii="仿宋" w:hAnsi="仿宋" w:eastAsia="仿宋" w:cs="Times New Roman"/>
          <w:sz w:val="32"/>
          <w:szCs w:val="32"/>
        </w:rPr>
        <w:t>日常公用经费</w:t>
      </w:r>
      <w:r>
        <w:rPr>
          <w:rFonts w:ascii="仿宋" w:hAnsi="仿宋" w:eastAsia="仿宋" w:cs="Times New Roman"/>
          <w:sz w:val="32"/>
          <w:szCs w:val="32"/>
        </w:rPr>
        <w:t>支出；项目支出减少</w:t>
      </w:r>
      <w:r>
        <w:rPr>
          <w:rFonts w:hint="eastAsia" w:ascii="仿宋" w:hAnsi="仿宋" w:eastAsia="仿宋" w:cs="Times New Roman"/>
          <w:sz w:val="32"/>
          <w:szCs w:val="32"/>
        </w:rPr>
        <w:t>912.29万</w:t>
      </w:r>
      <w:r>
        <w:rPr>
          <w:rFonts w:ascii="仿宋" w:hAnsi="仿宋" w:eastAsia="仿宋" w:cs="Times New Roman"/>
          <w:sz w:val="32"/>
          <w:szCs w:val="32"/>
        </w:rPr>
        <w:t>元，主要为</w:t>
      </w:r>
      <w:r>
        <w:rPr>
          <w:rFonts w:hint="eastAsia" w:ascii="仿宋" w:hAnsi="仿宋" w:eastAsia="仿宋" w:cs="Times New Roman"/>
          <w:sz w:val="32"/>
          <w:szCs w:val="32"/>
        </w:rPr>
        <w:t>政府购买服务专项经费、老旧小区改造二期工程（尾款）、城区无物业、无产权单位小区改造提升工程（尾款）等项目</w:t>
      </w:r>
      <w:r>
        <w:rPr>
          <w:rFonts w:ascii="仿宋" w:hAnsi="仿宋" w:eastAsia="仿宋" w:cs="Times New Roman"/>
          <w:sz w:val="32"/>
          <w:szCs w:val="32"/>
        </w:rPr>
        <w:t>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w:t>
      </w:r>
      <w:r>
        <w:rPr>
          <w:rFonts w:hint="eastAsia" w:ascii="仿宋" w:hAnsi="仿宋" w:eastAsia="仿宋" w:cs="Times New Roman"/>
          <w:sz w:val="32"/>
          <w:szCs w:val="32"/>
        </w:rPr>
        <w:t>单位</w:t>
      </w:r>
      <w:r>
        <w:rPr>
          <w:rFonts w:ascii="仿宋" w:hAnsi="仿宋" w:eastAsia="仿宋" w:cs="Times New Roman"/>
          <w:sz w:val="32"/>
          <w:szCs w:val="32"/>
        </w:rPr>
        <w:t>机关运行经费共计安排</w:t>
      </w:r>
      <w:r>
        <w:rPr>
          <w:rFonts w:hint="eastAsia" w:ascii="仿宋" w:hAnsi="仿宋" w:eastAsia="仿宋" w:cs="Times New Roman"/>
          <w:sz w:val="32"/>
          <w:szCs w:val="32"/>
        </w:rPr>
        <w:t>96.96</w:t>
      </w:r>
      <w:r>
        <w:rPr>
          <w:rFonts w:ascii="仿宋" w:hAnsi="仿宋" w:eastAsia="仿宋"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黑体" w:hAnsi="黑体" w:eastAsia="黑体" w:cs="Times New Roman"/>
          <w:sz w:val="32"/>
          <w:szCs w:val="32"/>
        </w:rPr>
      </w:pP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w:t>
      </w:r>
      <w:r>
        <w:rPr>
          <w:rFonts w:hint="eastAsia" w:ascii="仿宋" w:hAnsi="仿宋" w:eastAsia="仿宋" w:cs="Times New Roman"/>
          <w:sz w:val="32"/>
          <w:szCs w:val="32"/>
        </w:rPr>
        <w:t>单位</w:t>
      </w:r>
      <w:r>
        <w:rPr>
          <w:rFonts w:ascii="仿宋" w:hAnsi="仿宋" w:eastAsia="仿宋" w:cs="Times New Roman"/>
          <w:sz w:val="32"/>
          <w:szCs w:val="32"/>
        </w:rPr>
        <w:t>财政拨款“三公”经费预算安排</w:t>
      </w:r>
      <w:r>
        <w:rPr>
          <w:rFonts w:hint="eastAsia" w:ascii="仿宋" w:hAnsi="仿宋" w:eastAsia="仿宋" w:cs="Times New Roman"/>
          <w:sz w:val="32"/>
          <w:szCs w:val="32"/>
        </w:rPr>
        <w:t>8.54</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因公出国（境）费</w:t>
      </w:r>
      <w:r>
        <w:rPr>
          <w:rFonts w:hint="eastAsia" w:ascii="仿宋" w:hAnsi="仿宋" w:eastAsia="仿宋" w:cs="Times New Roman"/>
          <w:sz w:val="32"/>
          <w:szCs w:val="32"/>
        </w:rPr>
        <w:t>0</w:t>
      </w:r>
      <w:r>
        <w:rPr>
          <w:rFonts w:ascii="仿宋" w:hAnsi="仿宋" w:eastAsia="仿宋" w:cs="Times New Roman"/>
          <w:sz w:val="32"/>
          <w:szCs w:val="32"/>
        </w:rPr>
        <w:t>万元；公务用车购置及运维费</w:t>
      </w:r>
      <w:r>
        <w:rPr>
          <w:rFonts w:hint="eastAsia" w:ascii="仿宋" w:hAnsi="仿宋" w:eastAsia="仿宋" w:cs="Times New Roman"/>
          <w:sz w:val="32"/>
          <w:szCs w:val="32"/>
        </w:rPr>
        <w:t>8.1</w:t>
      </w:r>
      <w:r>
        <w:rPr>
          <w:rFonts w:ascii="仿宋" w:hAnsi="仿宋" w:eastAsia="仿宋" w:cs="Times New Roman"/>
          <w:sz w:val="32"/>
          <w:szCs w:val="32"/>
        </w:rPr>
        <w:t>万元（其中：公务用车购置费为</w:t>
      </w:r>
      <w:r>
        <w:rPr>
          <w:rFonts w:hint="eastAsia" w:ascii="仿宋" w:hAnsi="仿宋" w:eastAsia="仿宋" w:cs="Times New Roman"/>
          <w:sz w:val="32"/>
          <w:szCs w:val="32"/>
        </w:rPr>
        <w:t>0</w:t>
      </w:r>
      <w:r>
        <w:rPr>
          <w:rFonts w:ascii="仿宋" w:hAnsi="仿宋" w:eastAsia="仿宋" w:cs="Times New Roman"/>
          <w:sz w:val="32"/>
          <w:szCs w:val="32"/>
        </w:rPr>
        <w:t>万元，公务用车运维费</w:t>
      </w:r>
      <w:r>
        <w:rPr>
          <w:rFonts w:hint="eastAsia" w:ascii="仿宋" w:hAnsi="仿宋" w:eastAsia="仿宋" w:cs="Times New Roman"/>
          <w:sz w:val="32"/>
          <w:szCs w:val="32"/>
        </w:rPr>
        <w:t>8.1</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公务接待费</w:t>
      </w:r>
      <w:r>
        <w:rPr>
          <w:rFonts w:hint="eastAsia" w:ascii="仿宋" w:hAnsi="仿宋" w:eastAsia="仿宋" w:cs="Times New Roman"/>
          <w:sz w:val="32"/>
          <w:szCs w:val="32"/>
        </w:rPr>
        <w:t>0.44</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与20</w:t>
      </w:r>
      <w:r>
        <w:rPr>
          <w:rFonts w:hint="eastAsia" w:ascii="仿宋" w:hAnsi="仿宋" w:eastAsia="仿宋" w:cs="Times New Roman"/>
          <w:sz w:val="32"/>
          <w:szCs w:val="32"/>
        </w:rPr>
        <w:t>21</w:t>
      </w:r>
      <w:r>
        <w:rPr>
          <w:rFonts w:ascii="仿宋" w:hAnsi="仿宋" w:eastAsia="仿宋" w:cs="Times New Roman"/>
          <w:sz w:val="32"/>
          <w:szCs w:val="32"/>
        </w:rPr>
        <w:t>年</w:t>
      </w:r>
      <w:r>
        <w:rPr>
          <w:rFonts w:hint="eastAsia" w:ascii="仿宋" w:hAnsi="仿宋" w:eastAsia="仿宋" w:cs="Times New Roman"/>
          <w:sz w:val="32"/>
          <w:szCs w:val="32"/>
        </w:rPr>
        <w:t>相比减少0.2万元，其中，</w:t>
      </w:r>
      <w:r>
        <w:rPr>
          <w:rFonts w:ascii="仿宋" w:hAnsi="仿宋" w:eastAsia="仿宋" w:cs="Times New Roman"/>
          <w:sz w:val="32"/>
          <w:szCs w:val="32"/>
        </w:rPr>
        <w:t>公务接待费减</w:t>
      </w:r>
      <w:r>
        <w:rPr>
          <w:rFonts w:hint="eastAsia" w:ascii="仿宋" w:hAnsi="仿宋" w:eastAsia="仿宋" w:cs="Times New Roman"/>
          <w:sz w:val="32"/>
          <w:szCs w:val="32"/>
        </w:rPr>
        <w:t>少0.2万元，</w:t>
      </w:r>
      <w:r>
        <w:rPr>
          <w:rFonts w:ascii="仿宋" w:hAnsi="仿宋" w:eastAsia="仿宋" w:cs="Times New Roman"/>
          <w:sz w:val="32"/>
          <w:szCs w:val="32"/>
        </w:rPr>
        <w:t>主要原因是</w:t>
      </w:r>
      <w:r>
        <w:rPr>
          <w:rFonts w:hint="eastAsia" w:ascii="仿宋" w:hAnsi="仿宋" w:eastAsia="仿宋" w:cs="Times New Roman"/>
          <w:sz w:val="32"/>
          <w:szCs w:val="32"/>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（一）总体绩效目标</w:t>
      </w:r>
    </w:p>
    <w:p>
      <w:pPr>
        <w:spacing w:line="580" w:lineRule="exact"/>
        <w:ind w:firstLine="640" w:firstLineChars="200"/>
        <w:rPr>
          <w:rFonts w:ascii="仿宋" w:hAnsi="仿宋" w:eastAsia="仿宋"/>
          <w:sz w:val="32"/>
          <w:szCs w:val="32"/>
        </w:rPr>
      </w:pPr>
      <w:r>
        <w:rPr>
          <w:rFonts w:ascii="仿宋" w:hAnsi="仿宋" w:eastAsia="仿宋" w:cs="Times New Roman"/>
          <w:sz w:val="32"/>
          <w:szCs w:val="32"/>
        </w:rPr>
        <w:t>全面落实《关于全域推进整体提升全省城市基层党建工作的实施方案》，加强社区基层党组织建设，完善“群众说事、干部解题”工作机制，聚焦聚力为群众办实事解难题，实现“群众说事一扇门，干部解题一条龙”，打通公共服务“最后一米”，搭建服务群众的“连心桥”；按照全国文明和卫生城市创建标准，实现生活小区、社区面貌的提升保障，完善13个社区服务设施建设、平房小区公共基础设施改造工程等全县惠民实事工程等；做好社区党员团队服务建设，解决居民迫切需要；加强社区网格化管理，形成联动的社区管理组</w:t>
      </w:r>
      <w:r>
        <w:rPr>
          <w:rFonts w:ascii="仿宋" w:hAnsi="仿宋" w:eastAsia="仿宋"/>
          <w:sz w:val="32"/>
          <w:szCs w:val="32"/>
        </w:rPr>
        <w:t>织新格局；以现有13个退役军人服务站为依托，加强退役军人服务管理；做好维稳工作，稳定社会环境；加强社区文化建设，完善社区及新时代文明实践所建设，组织开展中华传统节日慰问、庆祝文艺演出、讲座等活动；通过融媒体平台集中展示街道社区重点、亮点工作成果，展示街道、社区工作形象。</w:t>
      </w:r>
    </w:p>
    <w:p>
      <w:pPr>
        <w:pStyle w:val="16"/>
        <w:rPr>
          <w:rFonts w:ascii="仿宋" w:hAnsi="仿宋" w:eastAsia="仿宋"/>
          <w:kern w:val="2"/>
          <w:sz w:val="32"/>
          <w:szCs w:val="32"/>
          <w:lang w:eastAsia="zh-CN"/>
        </w:rPr>
      </w:pP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（二）分项绩效目标</w:t>
      </w:r>
    </w:p>
    <w:p>
      <w:pPr>
        <w:pStyle w:val="17"/>
        <w:spacing w:line="580" w:lineRule="exact"/>
        <w:ind w:firstLine="640" w:firstLineChars="200"/>
        <w:rPr>
          <w:rFonts w:ascii="仿宋" w:hAnsi="仿宋" w:eastAsia="仿宋"/>
          <w:kern w:val="2"/>
          <w:sz w:val="32"/>
          <w:szCs w:val="32"/>
          <w:lang w:eastAsia="zh-CN"/>
        </w:rPr>
      </w:pPr>
      <w:r>
        <w:rPr>
          <w:rFonts w:hint="eastAsia" w:ascii="仿宋" w:hAnsi="仿宋" w:eastAsia="仿宋"/>
          <w:kern w:val="2"/>
          <w:sz w:val="32"/>
          <w:szCs w:val="32"/>
          <w:lang w:eastAsia="zh-CN"/>
        </w:rPr>
        <w:t>（一）</w:t>
      </w:r>
      <w:r>
        <w:rPr>
          <w:rFonts w:ascii="仿宋" w:hAnsi="仿宋" w:eastAsia="仿宋"/>
          <w:kern w:val="2"/>
          <w:sz w:val="32"/>
          <w:szCs w:val="32"/>
          <w:lang w:eastAsia="zh-CN"/>
        </w:rPr>
        <w:t>加强社区基层党组织建设</w:t>
      </w:r>
    </w:p>
    <w:p>
      <w:pPr>
        <w:pStyle w:val="17"/>
        <w:spacing w:line="580" w:lineRule="exact"/>
        <w:ind w:firstLine="640" w:firstLineChars="200"/>
        <w:rPr>
          <w:rFonts w:ascii="仿宋" w:hAnsi="仿宋" w:eastAsia="仿宋"/>
          <w:kern w:val="2"/>
          <w:sz w:val="32"/>
          <w:szCs w:val="32"/>
          <w:lang w:eastAsia="zh-CN"/>
        </w:rPr>
      </w:pPr>
      <w:r>
        <w:rPr>
          <w:rFonts w:ascii="仿宋" w:hAnsi="仿宋" w:eastAsia="仿宋"/>
          <w:kern w:val="2"/>
          <w:sz w:val="32"/>
          <w:szCs w:val="32"/>
          <w:lang w:eastAsia="zh-CN"/>
        </w:rPr>
        <w:t>绩效目标：通过完善13个社区服务设施建设、社区党员团队服务建设、为居民提供服务，实现降低群众问题反映率、提高群众满意率的目标。</w:t>
      </w:r>
    </w:p>
    <w:p>
      <w:pPr>
        <w:pStyle w:val="17"/>
        <w:spacing w:line="580" w:lineRule="exact"/>
        <w:ind w:firstLine="640" w:firstLineChars="200"/>
        <w:rPr>
          <w:rFonts w:ascii="仿宋" w:hAnsi="仿宋" w:eastAsia="仿宋"/>
          <w:kern w:val="2"/>
          <w:sz w:val="32"/>
          <w:szCs w:val="32"/>
          <w:lang w:eastAsia="zh-CN"/>
        </w:rPr>
      </w:pPr>
      <w:r>
        <w:rPr>
          <w:rFonts w:ascii="仿宋" w:hAnsi="仿宋" w:eastAsia="仿宋"/>
          <w:kern w:val="2"/>
          <w:sz w:val="32"/>
          <w:szCs w:val="32"/>
          <w:lang w:eastAsia="zh-CN"/>
        </w:rPr>
        <w:t>绩效指标：完善13个社区服务设施建设，提高居民满意度不低于90%。</w:t>
      </w:r>
    </w:p>
    <w:p>
      <w:pPr>
        <w:pStyle w:val="17"/>
        <w:spacing w:line="580" w:lineRule="exact"/>
        <w:ind w:firstLine="640" w:firstLineChars="200"/>
        <w:rPr>
          <w:rFonts w:ascii="仿宋" w:hAnsi="仿宋" w:eastAsia="仿宋"/>
          <w:kern w:val="2"/>
          <w:sz w:val="32"/>
          <w:szCs w:val="32"/>
          <w:lang w:eastAsia="zh-CN"/>
        </w:rPr>
      </w:pPr>
      <w:r>
        <w:rPr>
          <w:rFonts w:hint="eastAsia" w:ascii="仿宋" w:hAnsi="仿宋" w:eastAsia="仿宋"/>
          <w:kern w:val="2"/>
          <w:sz w:val="32"/>
          <w:szCs w:val="32"/>
          <w:lang w:eastAsia="zh-CN"/>
        </w:rPr>
        <w:t>（二）</w:t>
      </w:r>
      <w:r>
        <w:rPr>
          <w:rFonts w:ascii="仿宋" w:hAnsi="仿宋" w:eastAsia="仿宋"/>
          <w:kern w:val="2"/>
          <w:sz w:val="32"/>
          <w:szCs w:val="32"/>
          <w:lang w:eastAsia="zh-CN"/>
        </w:rPr>
        <w:t>推进社区建设，提升社区面貌</w:t>
      </w:r>
    </w:p>
    <w:p>
      <w:pPr>
        <w:pStyle w:val="17"/>
        <w:spacing w:line="580" w:lineRule="exact"/>
        <w:ind w:firstLine="640" w:firstLineChars="200"/>
        <w:rPr>
          <w:rFonts w:ascii="仿宋" w:hAnsi="仿宋" w:eastAsia="仿宋"/>
          <w:kern w:val="2"/>
          <w:sz w:val="32"/>
          <w:szCs w:val="32"/>
          <w:lang w:eastAsia="zh-CN"/>
        </w:rPr>
      </w:pPr>
      <w:r>
        <w:rPr>
          <w:rFonts w:ascii="仿宋" w:hAnsi="仿宋" w:eastAsia="仿宋"/>
          <w:kern w:val="2"/>
          <w:sz w:val="32"/>
          <w:szCs w:val="32"/>
          <w:lang w:eastAsia="zh-CN"/>
        </w:rPr>
        <w:t>绩效目标：通过更换平房小区地下排水管道、胡同路面重铺、安装胡同路灯等，提升完善平房小区公共基础设施，美化小区人居环境，提升小区居民幸福感、获得感、满意感。</w:t>
      </w:r>
    </w:p>
    <w:p>
      <w:pPr>
        <w:pStyle w:val="17"/>
        <w:spacing w:line="580" w:lineRule="exact"/>
        <w:ind w:firstLine="640" w:firstLineChars="200"/>
        <w:rPr>
          <w:rFonts w:ascii="仿宋" w:hAnsi="仿宋" w:eastAsia="仿宋"/>
          <w:kern w:val="2"/>
          <w:sz w:val="32"/>
          <w:szCs w:val="32"/>
          <w:lang w:eastAsia="zh-CN"/>
        </w:rPr>
      </w:pPr>
      <w:r>
        <w:rPr>
          <w:rFonts w:ascii="仿宋" w:hAnsi="仿宋" w:eastAsia="仿宋"/>
          <w:kern w:val="2"/>
          <w:sz w:val="32"/>
          <w:szCs w:val="32"/>
          <w:lang w:eastAsia="zh-CN"/>
        </w:rPr>
        <w:t>绩效指标：改造不少于6个平房小区公共基础设施，平房小区基础设施完好率达90%以上，居民满意度90%以上。</w:t>
      </w:r>
    </w:p>
    <w:p>
      <w:pPr>
        <w:pStyle w:val="17"/>
        <w:spacing w:line="580" w:lineRule="exact"/>
        <w:ind w:firstLine="640" w:firstLineChars="200"/>
        <w:rPr>
          <w:rFonts w:ascii="仿宋" w:hAnsi="仿宋" w:eastAsia="仿宋"/>
          <w:kern w:val="2"/>
          <w:sz w:val="32"/>
          <w:szCs w:val="32"/>
          <w:lang w:eastAsia="zh-CN"/>
        </w:rPr>
      </w:pPr>
      <w:r>
        <w:rPr>
          <w:rFonts w:hint="eastAsia" w:ascii="仿宋" w:hAnsi="仿宋" w:eastAsia="仿宋"/>
          <w:kern w:val="2"/>
          <w:sz w:val="32"/>
          <w:szCs w:val="32"/>
          <w:lang w:eastAsia="zh-CN"/>
        </w:rPr>
        <w:t>（三）</w:t>
      </w:r>
      <w:r>
        <w:rPr>
          <w:rFonts w:ascii="仿宋" w:hAnsi="仿宋" w:eastAsia="仿宋"/>
          <w:kern w:val="2"/>
          <w:sz w:val="32"/>
          <w:szCs w:val="32"/>
          <w:lang w:eastAsia="zh-CN"/>
        </w:rPr>
        <w:t>加强社区网格化管理</w:t>
      </w:r>
    </w:p>
    <w:p>
      <w:pPr>
        <w:pStyle w:val="17"/>
        <w:spacing w:line="580" w:lineRule="exact"/>
        <w:ind w:firstLine="640" w:firstLineChars="200"/>
        <w:rPr>
          <w:rFonts w:ascii="仿宋" w:hAnsi="仿宋" w:eastAsia="仿宋"/>
          <w:kern w:val="2"/>
          <w:sz w:val="32"/>
          <w:szCs w:val="32"/>
          <w:lang w:eastAsia="zh-CN"/>
        </w:rPr>
      </w:pPr>
      <w:r>
        <w:rPr>
          <w:rFonts w:ascii="仿宋" w:hAnsi="仿宋" w:eastAsia="仿宋"/>
          <w:kern w:val="2"/>
          <w:sz w:val="32"/>
          <w:szCs w:val="32"/>
          <w:lang w:eastAsia="zh-CN"/>
        </w:rPr>
        <w:t>绩效目标：通过按时按量发放楼门栋长劳务费，促使楼门栋长配合社区居委会工作，降低居民纠纷率。</w:t>
      </w:r>
    </w:p>
    <w:p>
      <w:pPr>
        <w:pStyle w:val="17"/>
        <w:spacing w:line="580" w:lineRule="exact"/>
        <w:ind w:firstLine="640" w:firstLineChars="200"/>
        <w:rPr>
          <w:rFonts w:ascii="仿宋" w:hAnsi="仿宋" w:eastAsia="仿宋"/>
          <w:kern w:val="2"/>
          <w:sz w:val="32"/>
          <w:szCs w:val="32"/>
          <w:lang w:eastAsia="zh-CN"/>
        </w:rPr>
      </w:pPr>
      <w:r>
        <w:rPr>
          <w:rFonts w:ascii="仿宋" w:hAnsi="仿宋" w:eastAsia="仿宋"/>
          <w:kern w:val="2"/>
          <w:sz w:val="32"/>
          <w:szCs w:val="32"/>
          <w:lang w:eastAsia="zh-CN"/>
        </w:rPr>
        <w:t>绩效指标：保证355名楼门栋长到岗工作，降低居民纠纷发生率不超过10%。</w:t>
      </w:r>
    </w:p>
    <w:p>
      <w:pPr>
        <w:pStyle w:val="17"/>
        <w:spacing w:line="580" w:lineRule="exact"/>
        <w:ind w:firstLine="640" w:firstLineChars="200"/>
        <w:rPr>
          <w:rFonts w:ascii="仿宋" w:hAnsi="仿宋" w:eastAsia="仿宋"/>
          <w:kern w:val="2"/>
          <w:sz w:val="32"/>
          <w:szCs w:val="32"/>
          <w:lang w:eastAsia="zh-CN"/>
        </w:rPr>
      </w:pPr>
      <w:r>
        <w:rPr>
          <w:rFonts w:hint="eastAsia" w:ascii="仿宋" w:hAnsi="仿宋" w:eastAsia="仿宋"/>
          <w:kern w:val="2"/>
          <w:sz w:val="32"/>
          <w:szCs w:val="32"/>
          <w:lang w:eastAsia="zh-CN"/>
        </w:rPr>
        <w:t>（四）</w:t>
      </w:r>
      <w:r>
        <w:rPr>
          <w:rFonts w:ascii="仿宋" w:hAnsi="仿宋" w:eastAsia="仿宋"/>
          <w:kern w:val="2"/>
          <w:sz w:val="32"/>
          <w:szCs w:val="32"/>
          <w:lang w:eastAsia="zh-CN"/>
        </w:rPr>
        <w:t>加强计划生育工作</w:t>
      </w:r>
    </w:p>
    <w:p>
      <w:pPr>
        <w:pStyle w:val="17"/>
        <w:spacing w:line="580" w:lineRule="exact"/>
        <w:ind w:firstLine="640" w:firstLineChars="200"/>
        <w:rPr>
          <w:rFonts w:ascii="仿宋" w:hAnsi="仿宋" w:eastAsia="仿宋"/>
          <w:kern w:val="2"/>
          <w:sz w:val="32"/>
          <w:szCs w:val="32"/>
          <w:lang w:eastAsia="zh-CN"/>
        </w:rPr>
      </w:pPr>
      <w:r>
        <w:rPr>
          <w:rFonts w:ascii="仿宋" w:hAnsi="仿宋" w:eastAsia="仿宋"/>
          <w:kern w:val="2"/>
          <w:sz w:val="32"/>
          <w:szCs w:val="32"/>
          <w:lang w:eastAsia="zh-CN"/>
        </w:rPr>
        <w:t>绩效目标：通过按时按量发放计生小组长劳务费，提高计生知识宣传覆盖率。</w:t>
      </w:r>
    </w:p>
    <w:p>
      <w:pPr>
        <w:pStyle w:val="17"/>
        <w:spacing w:line="580" w:lineRule="exact"/>
        <w:ind w:firstLine="640" w:firstLineChars="200"/>
        <w:rPr>
          <w:rFonts w:ascii="仿宋" w:hAnsi="仿宋" w:eastAsia="仿宋"/>
          <w:kern w:val="2"/>
          <w:sz w:val="32"/>
          <w:szCs w:val="32"/>
          <w:lang w:eastAsia="zh-CN"/>
        </w:rPr>
      </w:pPr>
      <w:r>
        <w:rPr>
          <w:rFonts w:ascii="仿宋" w:hAnsi="仿宋" w:eastAsia="仿宋"/>
          <w:kern w:val="2"/>
          <w:sz w:val="32"/>
          <w:szCs w:val="32"/>
          <w:lang w:eastAsia="zh-CN"/>
        </w:rPr>
        <w:t>绩效指标：按每50-100名育龄妇女设置1名计生小组长，共设置117名计生小组长，针对活动小区进行计生知识宣传。</w:t>
      </w:r>
    </w:p>
    <w:p>
      <w:pPr>
        <w:pStyle w:val="17"/>
        <w:spacing w:line="580" w:lineRule="exact"/>
        <w:ind w:firstLine="640" w:firstLineChars="200"/>
        <w:rPr>
          <w:rFonts w:ascii="仿宋" w:hAnsi="仿宋" w:eastAsia="仿宋"/>
          <w:kern w:val="2"/>
          <w:sz w:val="32"/>
          <w:szCs w:val="32"/>
          <w:lang w:eastAsia="zh-CN"/>
        </w:rPr>
      </w:pPr>
      <w:r>
        <w:rPr>
          <w:rFonts w:hint="eastAsia" w:ascii="仿宋" w:hAnsi="仿宋" w:eastAsia="仿宋"/>
          <w:kern w:val="2"/>
          <w:sz w:val="32"/>
          <w:szCs w:val="32"/>
          <w:lang w:eastAsia="zh-CN"/>
        </w:rPr>
        <w:t>（五）</w:t>
      </w:r>
      <w:r>
        <w:rPr>
          <w:rFonts w:ascii="仿宋" w:hAnsi="仿宋" w:eastAsia="仿宋"/>
          <w:kern w:val="2"/>
          <w:sz w:val="32"/>
          <w:szCs w:val="32"/>
          <w:lang w:eastAsia="zh-CN"/>
        </w:rPr>
        <w:t>落实属地责任，维护和谐稳定局面</w:t>
      </w:r>
    </w:p>
    <w:p>
      <w:pPr>
        <w:pStyle w:val="17"/>
        <w:spacing w:line="580" w:lineRule="exact"/>
        <w:ind w:firstLine="640" w:firstLineChars="200"/>
        <w:rPr>
          <w:rFonts w:ascii="仿宋" w:hAnsi="仿宋" w:eastAsia="仿宋"/>
          <w:kern w:val="2"/>
          <w:sz w:val="32"/>
          <w:szCs w:val="32"/>
          <w:lang w:eastAsia="zh-CN"/>
        </w:rPr>
      </w:pPr>
      <w:r>
        <w:rPr>
          <w:rFonts w:ascii="仿宋" w:hAnsi="仿宋" w:eastAsia="仿宋"/>
          <w:kern w:val="2"/>
          <w:sz w:val="32"/>
          <w:szCs w:val="32"/>
          <w:lang w:eastAsia="zh-CN"/>
        </w:rPr>
        <w:t>绩效目标：通过两会、冬奥会、二十大的安保工作，做好维稳工作，稳定社会环境，使人民生活更幸福，社会更和谐,实现大厂镇经济社会快速发展。</w:t>
      </w:r>
    </w:p>
    <w:p>
      <w:pPr>
        <w:pStyle w:val="17"/>
        <w:spacing w:line="580" w:lineRule="exact"/>
        <w:ind w:firstLine="640" w:firstLineChars="200"/>
        <w:rPr>
          <w:rFonts w:ascii="仿宋" w:hAnsi="仿宋" w:eastAsia="仿宋"/>
          <w:kern w:val="2"/>
          <w:sz w:val="32"/>
          <w:szCs w:val="32"/>
          <w:lang w:eastAsia="zh-CN"/>
        </w:rPr>
      </w:pPr>
      <w:r>
        <w:rPr>
          <w:rFonts w:ascii="仿宋" w:hAnsi="仿宋" w:eastAsia="仿宋"/>
          <w:kern w:val="2"/>
          <w:sz w:val="32"/>
          <w:szCs w:val="32"/>
          <w:lang w:eastAsia="zh-CN"/>
        </w:rPr>
        <w:t>绩效指标：落实专项维稳项目不少于5项，重大活动突发事件发生率零，提高公众安全感指数不低于90%。</w:t>
      </w:r>
    </w:p>
    <w:p>
      <w:pPr>
        <w:pStyle w:val="17"/>
        <w:spacing w:line="580" w:lineRule="exact"/>
        <w:ind w:firstLine="640" w:firstLineChars="200"/>
        <w:rPr>
          <w:rFonts w:ascii="仿宋" w:hAnsi="仿宋" w:eastAsia="仿宋"/>
          <w:kern w:val="2"/>
          <w:sz w:val="32"/>
          <w:szCs w:val="32"/>
          <w:lang w:eastAsia="zh-CN"/>
        </w:rPr>
      </w:pPr>
      <w:r>
        <w:rPr>
          <w:rFonts w:hint="eastAsia" w:ascii="仿宋" w:hAnsi="仿宋" w:eastAsia="仿宋"/>
          <w:kern w:val="2"/>
          <w:sz w:val="32"/>
          <w:szCs w:val="32"/>
          <w:lang w:eastAsia="zh-CN"/>
        </w:rPr>
        <w:t>（六）</w:t>
      </w:r>
      <w:r>
        <w:rPr>
          <w:rFonts w:ascii="仿宋" w:hAnsi="仿宋" w:eastAsia="仿宋"/>
          <w:kern w:val="2"/>
          <w:sz w:val="32"/>
          <w:szCs w:val="32"/>
          <w:lang w:eastAsia="zh-CN"/>
        </w:rPr>
        <w:t>做好退役军人服务管理</w:t>
      </w:r>
    </w:p>
    <w:p>
      <w:pPr>
        <w:pStyle w:val="17"/>
        <w:spacing w:line="580" w:lineRule="exact"/>
        <w:ind w:firstLine="640" w:firstLineChars="200"/>
        <w:rPr>
          <w:rFonts w:ascii="仿宋" w:hAnsi="仿宋" w:eastAsia="仿宋"/>
          <w:kern w:val="2"/>
          <w:sz w:val="32"/>
          <w:szCs w:val="32"/>
          <w:lang w:eastAsia="zh-CN"/>
        </w:rPr>
      </w:pPr>
      <w:r>
        <w:rPr>
          <w:rFonts w:ascii="仿宋" w:hAnsi="仿宋" w:eastAsia="仿宋"/>
          <w:kern w:val="2"/>
          <w:sz w:val="32"/>
          <w:szCs w:val="32"/>
          <w:lang w:eastAsia="zh-CN"/>
        </w:rPr>
        <w:t>绩效目标：通过安装上墙展牌、印发宣传资料、购买活动用品进行走访慰问等工作的开展，实现降低退役军人反映问题的比率、提高工作人员满意度的目标。</w:t>
      </w:r>
    </w:p>
    <w:p>
      <w:pPr>
        <w:pStyle w:val="17"/>
        <w:spacing w:line="580" w:lineRule="exact"/>
        <w:ind w:firstLine="640" w:firstLineChars="200"/>
        <w:rPr>
          <w:rFonts w:ascii="仿宋" w:hAnsi="仿宋" w:eastAsia="仿宋"/>
          <w:kern w:val="2"/>
          <w:sz w:val="32"/>
          <w:szCs w:val="32"/>
          <w:lang w:eastAsia="zh-CN"/>
        </w:rPr>
      </w:pPr>
      <w:r>
        <w:rPr>
          <w:rFonts w:ascii="仿宋" w:hAnsi="仿宋" w:eastAsia="仿宋"/>
          <w:kern w:val="2"/>
          <w:sz w:val="32"/>
          <w:szCs w:val="32"/>
          <w:lang w:eastAsia="zh-CN"/>
        </w:rPr>
        <w:t>绩效指标：发放宣传资料数量不少于400份，购买活动用品不少于50件，提高退役军人满意度不低于90%。</w:t>
      </w:r>
    </w:p>
    <w:p>
      <w:pPr>
        <w:pStyle w:val="17"/>
        <w:spacing w:line="580" w:lineRule="exact"/>
        <w:ind w:firstLine="640" w:firstLineChars="200"/>
        <w:rPr>
          <w:rFonts w:ascii="仿宋" w:hAnsi="仿宋" w:eastAsia="仿宋"/>
          <w:kern w:val="2"/>
          <w:sz w:val="32"/>
          <w:szCs w:val="32"/>
          <w:lang w:eastAsia="zh-CN"/>
        </w:rPr>
      </w:pPr>
      <w:r>
        <w:rPr>
          <w:rFonts w:hint="eastAsia" w:ascii="仿宋" w:hAnsi="仿宋" w:eastAsia="仿宋"/>
          <w:kern w:val="2"/>
          <w:sz w:val="32"/>
          <w:szCs w:val="32"/>
          <w:lang w:eastAsia="zh-CN"/>
        </w:rPr>
        <w:t>（七）</w:t>
      </w:r>
      <w:r>
        <w:rPr>
          <w:rFonts w:ascii="仿宋" w:hAnsi="仿宋" w:eastAsia="仿宋"/>
          <w:kern w:val="2"/>
          <w:sz w:val="32"/>
          <w:szCs w:val="32"/>
          <w:lang w:eastAsia="zh-CN"/>
        </w:rPr>
        <w:t>加强社区文化建设</w:t>
      </w:r>
    </w:p>
    <w:p>
      <w:pPr>
        <w:pStyle w:val="17"/>
        <w:spacing w:line="580" w:lineRule="exact"/>
        <w:ind w:firstLine="640" w:firstLineChars="200"/>
        <w:rPr>
          <w:rFonts w:ascii="仿宋" w:hAnsi="仿宋" w:eastAsia="仿宋"/>
          <w:kern w:val="2"/>
          <w:sz w:val="32"/>
          <w:szCs w:val="32"/>
          <w:lang w:eastAsia="zh-CN"/>
        </w:rPr>
      </w:pPr>
      <w:r>
        <w:rPr>
          <w:rFonts w:ascii="仿宋" w:hAnsi="仿宋" w:eastAsia="仿宋"/>
          <w:kern w:val="2"/>
          <w:sz w:val="32"/>
          <w:szCs w:val="32"/>
          <w:lang w:eastAsia="zh-CN"/>
        </w:rPr>
        <w:t>绩效目标：根据宣传部相关工作要求，完善新时代文明实践所建设，通过开展活动充分体现社会主义人文关怀、弘扬主旋律。</w:t>
      </w:r>
    </w:p>
    <w:p>
      <w:pPr>
        <w:pStyle w:val="17"/>
        <w:spacing w:line="580" w:lineRule="exact"/>
        <w:ind w:firstLine="640" w:firstLineChars="200"/>
        <w:rPr>
          <w:rFonts w:ascii="仿宋" w:hAnsi="仿宋" w:eastAsia="仿宋"/>
          <w:kern w:val="2"/>
          <w:sz w:val="32"/>
          <w:szCs w:val="32"/>
          <w:lang w:eastAsia="zh-CN"/>
        </w:rPr>
      </w:pPr>
      <w:r>
        <w:rPr>
          <w:rFonts w:ascii="仿宋" w:hAnsi="仿宋" w:eastAsia="仿宋"/>
          <w:kern w:val="2"/>
          <w:sz w:val="32"/>
          <w:szCs w:val="32"/>
          <w:lang w:eastAsia="zh-CN"/>
        </w:rPr>
        <w:t>绩效指标：一年举办的40次以上的活动，通过印制宣传资料、健康知识、免费培训宣传资料、开展活动，提升群众思想觉悟、道德水准。</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（三）工作保障措施</w:t>
      </w:r>
    </w:p>
    <w:p>
      <w:pPr>
        <w:pStyle w:val="18"/>
        <w:rPr>
          <w:rFonts w:ascii="仿宋" w:hAnsi="仿宋" w:eastAsia="仿宋"/>
          <w:kern w:val="2"/>
          <w:sz w:val="32"/>
          <w:szCs w:val="32"/>
          <w:lang w:eastAsia="zh-CN"/>
        </w:rPr>
      </w:pPr>
      <w:r>
        <w:rPr>
          <w:rFonts w:ascii="仿宋" w:hAnsi="仿宋" w:eastAsia="仿宋"/>
          <w:kern w:val="2"/>
          <w:sz w:val="32"/>
          <w:szCs w:val="32"/>
          <w:lang w:eastAsia="zh-CN"/>
        </w:rPr>
        <w:t>（</w:t>
      </w:r>
      <w:r>
        <w:rPr>
          <w:rFonts w:hint="eastAsia" w:ascii="仿宋" w:hAnsi="仿宋" w:eastAsia="仿宋"/>
          <w:kern w:val="2"/>
          <w:sz w:val="32"/>
          <w:szCs w:val="32"/>
          <w:lang w:eastAsia="zh-CN"/>
        </w:rPr>
        <w:t>一</w:t>
      </w:r>
      <w:r>
        <w:rPr>
          <w:rFonts w:ascii="仿宋" w:hAnsi="仿宋" w:eastAsia="仿宋"/>
          <w:kern w:val="2"/>
          <w:sz w:val="32"/>
          <w:szCs w:val="32"/>
          <w:lang w:eastAsia="zh-CN"/>
        </w:rPr>
        <w:t>）加强社区基层党组织建设</w:t>
      </w:r>
    </w:p>
    <w:p>
      <w:pPr>
        <w:pStyle w:val="18"/>
        <w:rPr>
          <w:rFonts w:ascii="仿宋" w:hAnsi="仿宋" w:eastAsia="仿宋"/>
          <w:kern w:val="2"/>
          <w:sz w:val="32"/>
          <w:szCs w:val="32"/>
          <w:lang w:eastAsia="zh-CN"/>
        </w:rPr>
      </w:pPr>
      <w:r>
        <w:rPr>
          <w:rFonts w:ascii="仿宋" w:hAnsi="仿宋" w:eastAsia="仿宋"/>
          <w:kern w:val="2"/>
          <w:sz w:val="32"/>
          <w:szCs w:val="32"/>
          <w:lang w:eastAsia="zh-CN"/>
        </w:rPr>
        <w:t>充分发挥街道党委、社区党支部总揽全局、协调各方的领导核心作用，形成横向到边、纵向到底的工作格局，抓好社区党员管理和教育。</w:t>
      </w:r>
    </w:p>
    <w:p>
      <w:pPr>
        <w:pStyle w:val="18"/>
        <w:rPr>
          <w:rFonts w:ascii="仿宋" w:hAnsi="仿宋" w:eastAsia="仿宋"/>
          <w:kern w:val="2"/>
          <w:sz w:val="32"/>
          <w:szCs w:val="32"/>
          <w:lang w:eastAsia="zh-CN"/>
        </w:rPr>
      </w:pPr>
      <w:r>
        <w:rPr>
          <w:rFonts w:ascii="仿宋" w:hAnsi="仿宋" w:eastAsia="仿宋"/>
          <w:kern w:val="2"/>
          <w:sz w:val="32"/>
          <w:szCs w:val="32"/>
          <w:lang w:eastAsia="zh-CN"/>
        </w:rPr>
        <w:t>（</w:t>
      </w:r>
      <w:r>
        <w:rPr>
          <w:rFonts w:hint="eastAsia" w:ascii="仿宋" w:hAnsi="仿宋" w:eastAsia="仿宋"/>
          <w:kern w:val="2"/>
          <w:sz w:val="32"/>
          <w:szCs w:val="32"/>
          <w:lang w:eastAsia="zh-CN"/>
        </w:rPr>
        <w:t>二</w:t>
      </w:r>
      <w:r>
        <w:rPr>
          <w:rFonts w:ascii="仿宋" w:hAnsi="仿宋" w:eastAsia="仿宋"/>
          <w:kern w:val="2"/>
          <w:sz w:val="32"/>
          <w:szCs w:val="32"/>
          <w:lang w:eastAsia="zh-CN"/>
        </w:rPr>
        <w:t>）巩固全国文明城市创建结果，做好全国卫生县城复检工作</w:t>
      </w:r>
    </w:p>
    <w:p>
      <w:pPr>
        <w:pStyle w:val="18"/>
        <w:rPr>
          <w:rFonts w:ascii="仿宋" w:hAnsi="仿宋" w:eastAsia="仿宋"/>
          <w:kern w:val="2"/>
          <w:sz w:val="32"/>
          <w:szCs w:val="32"/>
          <w:lang w:eastAsia="zh-CN"/>
        </w:rPr>
      </w:pPr>
      <w:r>
        <w:rPr>
          <w:rFonts w:ascii="仿宋" w:hAnsi="仿宋" w:eastAsia="仿宋"/>
          <w:kern w:val="2"/>
          <w:sz w:val="32"/>
          <w:szCs w:val="32"/>
          <w:lang w:eastAsia="zh-CN"/>
        </w:rPr>
        <w:t>1.对标全国卫生县城复检要求，逐项抓好落实，补短板、促提升；对居民小区公共基础设施进行维修维护，打造精品社区，改造提升平房小区基础设施。</w:t>
      </w:r>
    </w:p>
    <w:p>
      <w:pPr>
        <w:pStyle w:val="18"/>
        <w:rPr>
          <w:rFonts w:ascii="仿宋" w:hAnsi="仿宋" w:eastAsia="仿宋"/>
          <w:kern w:val="2"/>
          <w:sz w:val="32"/>
          <w:szCs w:val="32"/>
          <w:lang w:eastAsia="zh-CN"/>
        </w:rPr>
      </w:pPr>
      <w:r>
        <w:rPr>
          <w:rFonts w:ascii="仿宋" w:hAnsi="仿宋" w:eastAsia="仿宋"/>
          <w:kern w:val="2"/>
          <w:sz w:val="32"/>
          <w:szCs w:val="32"/>
          <w:lang w:eastAsia="zh-CN"/>
        </w:rPr>
        <w:t>2.以新时代文明实践所（站）建设为依托，推进民主议事，满足居民物质文化需求，推进志愿服务活动，提升志愿服务水平，营造浓厚的和谐氛围，巩固全国文明城市创建成果。</w:t>
      </w:r>
    </w:p>
    <w:p>
      <w:pPr>
        <w:pStyle w:val="18"/>
        <w:rPr>
          <w:rFonts w:ascii="仿宋" w:hAnsi="仿宋" w:eastAsia="仿宋"/>
          <w:kern w:val="2"/>
          <w:sz w:val="32"/>
          <w:szCs w:val="32"/>
          <w:lang w:eastAsia="zh-CN"/>
        </w:rPr>
      </w:pPr>
      <w:r>
        <w:rPr>
          <w:rFonts w:ascii="仿宋" w:hAnsi="仿宋" w:eastAsia="仿宋"/>
          <w:kern w:val="2"/>
          <w:sz w:val="32"/>
          <w:szCs w:val="32"/>
          <w:lang w:eastAsia="zh-CN"/>
        </w:rPr>
        <w:t>（</w:t>
      </w:r>
      <w:r>
        <w:rPr>
          <w:rFonts w:hint="eastAsia" w:ascii="仿宋" w:hAnsi="仿宋" w:eastAsia="仿宋"/>
          <w:kern w:val="2"/>
          <w:sz w:val="32"/>
          <w:szCs w:val="32"/>
          <w:lang w:eastAsia="zh-CN"/>
        </w:rPr>
        <w:t>三</w:t>
      </w:r>
      <w:r>
        <w:rPr>
          <w:rFonts w:ascii="仿宋" w:hAnsi="仿宋" w:eastAsia="仿宋"/>
          <w:kern w:val="2"/>
          <w:sz w:val="32"/>
          <w:szCs w:val="32"/>
          <w:lang w:eastAsia="zh-CN"/>
        </w:rPr>
        <w:t>）维护稳定</w:t>
      </w:r>
    </w:p>
    <w:p>
      <w:pPr>
        <w:pStyle w:val="18"/>
        <w:rPr>
          <w:rFonts w:ascii="仿宋" w:hAnsi="仿宋" w:eastAsia="仿宋"/>
          <w:kern w:val="2"/>
          <w:sz w:val="32"/>
          <w:szCs w:val="32"/>
          <w:lang w:eastAsia="zh-CN"/>
        </w:rPr>
      </w:pPr>
      <w:r>
        <w:rPr>
          <w:rFonts w:ascii="仿宋" w:hAnsi="仿宋" w:eastAsia="仿宋"/>
          <w:kern w:val="2"/>
          <w:sz w:val="32"/>
          <w:szCs w:val="32"/>
          <w:lang w:eastAsia="zh-CN"/>
        </w:rPr>
        <w:t>严格落实属地管理，按照省、市、县委相关工作要求，抓好街道、社区的维护稳定工作。排查化解矛盾隐患，调处信访案件，维护群众利益。</w:t>
      </w:r>
    </w:p>
    <w:p>
      <w:pPr>
        <w:pStyle w:val="18"/>
        <w:rPr>
          <w:rFonts w:ascii="仿宋" w:hAnsi="仿宋" w:eastAsia="仿宋"/>
          <w:kern w:val="2"/>
          <w:sz w:val="32"/>
          <w:szCs w:val="32"/>
          <w:lang w:eastAsia="zh-CN"/>
        </w:rPr>
      </w:pPr>
      <w:r>
        <w:rPr>
          <w:rFonts w:ascii="仿宋" w:hAnsi="仿宋" w:eastAsia="仿宋"/>
          <w:kern w:val="2"/>
          <w:sz w:val="32"/>
          <w:szCs w:val="32"/>
          <w:lang w:eastAsia="zh-CN"/>
        </w:rPr>
        <w:t>（</w:t>
      </w:r>
      <w:r>
        <w:rPr>
          <w:rFonts w:hint="eastAsia" w:ascii="仿宋" w:hAnsi="仿宋" w:eastAsia="仿宋"/>
          <w:kern w:val="2"/>
          <w:sz w:val="32"/>
          <w:szCs w:val="32"/>
          <w:lang w:eastAsia="zh-CN"/>
        </w:rPr>
        <w:t>四</w:t>
      </w:r>
      <w:r>
        <w:rPr>
          <w:rFonts w:ascii="仿宋" w:hAnsi="仿宋" w:eastAsia="仿宋"/>
          <w:kern w:val="2"/>
          <w:sz w:val="32"/>
          <w:szCs w:val="32"/>
          <w:lang w:eastAsia="zh-CN"/>
        </w:rPr>
        <w:t>）抓好社区活动</w:t>
      </w:r>
    </w:p>
    <w:p>
      <w:pPr>
        <w:pStyle w:val="18"/>
        <w:rPr>
          <w:rFonts w:ascii="仿宋" w:hAnsi="仿宋" w:eastAsia="仿宋"/>
          <w:kern w:val="2"/>
          <w:sz w:val="32"/>
          <w:szCs w:val="32"/>
          <w:lang w:eastAsia="zh-CN"/>
        </w:rPr>
      </w:pPr>
      <w:r>
        <w:rPr>
          <w:rFonts w:ascii="仿宋" w:hAnsi="仿宋" w:eastAsia="仿宋"/>
          <w:kern w:val="2"/>
          <w:sz w:val="32"/>
          <w:szCs w:val="32"/>
          <w:lang w:eastAsia="zh-CN"/>
        </w:rPr>
        <w:t>发动社区居民，不断丰富社区活动，以新时代文明实践所、站为活动地点，实现固定活动经常化，阶段性活动特色化。</w:t>
      </w:r>
    </w:p>
    <w:p>
      <w:pPr>
        <w:pStyle w:val="18"/>
        <w:rPr>
          <w:rFonts w:ascii="仿宋" w:hAnsi="仿宋" w:eastAsia="仿宋"/>
          <w:kern w:val="2"/>
          <w:sz w:val="32"/>
          <w:szCs w:val="32"/>
          <w:lang w:eastAsia="zh-CN"/>
        </w:rPr>
      </w:pPr>
      <w:r>
        <w:rPr>
          <w:rFonts w:ascii="仿宋" w:hAnsi="仿宋" w:eastAsia="仿宋"/>
          <w:kern w:val="2"/>
          <w:sz w:val="32"/>
          <w:szCs w:val="32"/>
          <w:lang w:eastAsia="zh-CN"/>
        </w:rPr>
        <w:t>（</w:t>
      </w:r>
      <w:r>
        <w:rPr>
          <w:rFonts w:hint="eastAsia" w:ascii="仿宋" w:hAnsi="仿宋" w:eastAsia="仿宋"/>
          <w:kern w:val="2"/>
          <w:sz w:val="32"/>
          <w:szCs w:val="32"/>
          <w:lang w:eastAsia="zh-CN"/>
        </w:rPr>
        <w:t>五</w:t>
      </w:r>
      <w:r>
        <w:rPr>
          <w:rFonts w:ascii="仿宋" w:hAnsi="仿宋" w:eastAsia="仿宋"/>
          <w:kern w:val="2"/>
          <w:sz w:val="32"/>
          <w:szCs w:val="32"/>
          <w:lang w:eastAsia="zh-CN"/>
        </w:rPr>
        <w:t>）做好绩效自评</w:t>
      </w:r>
    </w:p>
    <w:p>
      <w:pPr>
        <w:pStyle w:val="18"/>
        <w:rPr>
          <w:rFonts w:ascii="仿宋" w:hAnsi="仿宋" w:eastAsia="仿宋"/>
          <w:kern w:val="2"/>
          <w:sz w:val="32"/>
          <w:szCs w:val="32"/>
          <w:lang w:eastAsia="zh-CN"/>
        </w:rPr>
      </w:pPr>
      <w:r>
        <w:rPr>
          <w:rFonts w:ascii="仿宋" w:hAnsi="仿宋" w:eastAsia="仿宋"/>
          <w:kern w:val="2"/>
          <w:sz w:val="32"/>
          <w:szCs w:val="32"/>
          <w:lang w:eastAsia="zh-CN"/>
        </w:rPr>
        <w:t>预算执行结束后，及时对预算资金的产出和结果进行绩效自我评价，编写绩效自评报告。认真分析研究评价结果所反映的问题，努力查找资金使用和管理中的薄弱环节，制定改进和提高绩效管理工作的措施。</w:t>
      </w:r>
    </w:p>
    <w:p>
      <w:pPr>
        <w:spacing w:line="584" w:lineRule="exact"/>
        <w:ind w:firstLine="643" w:firstLineChars="200"/>
        <w:rPr>
          <w:rFonts w:ascii="楷体" w:hAnsi="楷体" w:eastAsia="楷体" w:cs="Times New Roman"/>
          <w:b/>
          <w:sz w:val="32"/>
          <w:szCs w:val="32"/>
        </w:rPr>
      </w:pPr>
    </w:p>
    <w:p>
      <w:pPr>
        <w:spacing w:line="584" w:lineRule="exact"/>
        <w:ind w:firstLine="643" w:firstLineChars="200"/>
        <w:rPr>
          <w:rFonts w:ascii="楷体" w:hAnsi="楷体" w:eastAsia="楷体" w:cs="Times New Roman"/>
          <w:b/>
          <w:sz w:val="32"/>
          <w:szCs w:val="32"/>
        </w:rPr>
      </w:pPr>
    </w:p>
    <w:p>
      <w:pPr>
        <w:spacing w:line="584" w:lineRule="exact"/>
        <w:ind w:firstLine="643" w:firstLineChars="200"/>
        <w:rPr>
          <w:rFonts w:ascii="楷体" w:hAnsi="楷体" w:eastAsia="楷体" w:cs="Times New Roman"/>
          <w:b/>
          <w:sz w:val="32"/>
          <w:szCs w:val="32"/>
        </w:rPr>
      </w:pPr>
    </w:p>
    <w:p>
      <w:pPr>
        <w:spacing w:line="584" w:lineRule="exact"/>
        <w:ind w:firstLine="643" w:firstLineChars="200"/>
        <w:rPr>
          <w:rFonts w:ascii="楷体" w:hAnsi="楷体" w:eastAsia="楷体" w:cs="Times New Roman"/>
          <w:b/>
          <w:sz w:val="32"/>
          <w:szCs w:val="32"/>
        </w:rPr>
      </w:pPr>
    </w:p>
    <w:p>
      <w:pPr>
        <w:spacing w:line="584" w:lineRule="exact"/>
        <w:ind w:firstLine="643" w:firstLineChars="200"/>
        <w:rPr>
          <w:rFonts w:ascii="楷体" w:hAnsi="楷体" w:eastAsia="楷体" w:cs="Times New Roman"/>
          <w:b/>
          <w:sz w:val="32"/>
          <w:szCs w:val="32"/>
        </w:rPr>
      </w:pPr>
    </w:p>
    <w:p>
      <w:pPr>
        <w:spacing w:line="584" w:lineRule="exact"/>
        <w:ind w:firstLine="643" w:firstLineChars="200"/>
        <w:rPr>
          <w:rFonts w:ascii="楷体" w:hAnsi="楷体" w:eastAsia="楷体" w:cs="Times New Roman"/>
          <w:b/>
          <w:sz w:val="32"/>
          <w:szCs w:val="32"/>
        </w:rPr>
      </w:pPr>
    </w:p>
    <w:p>
      <w:pPr>
        <w:spacing w:line="584" w:lineRule="exact"/>
        <w:ind w:firstLine="643" w:firstLineChars="200"/>
        <w:rPr>
          <w:rFonts w:ascii="楷体" w:hAnsi="楷体" w:eastAsia="楷体" w:cs="Times New Roman"/>
          <w:b/>
          <w:sz w:val="32"/>
          <w:szCs w:val="32"/>
        </w:rPr>
      </w:pPr>
    </w:p>
    <w:p>
      <w:pPr>
        <w:spacing w:line="584" w:lineRule="exact"/>
        <w:ind w:firstLine="643" w:firstLineChars="200"/>
        <w:rPr>
          <w:rFonts w:ascii="楷体" w:hAnsi="楷体" w:eastAsia="楷体" w:cs="Times New Roman"/>
          <w:b/>
          <w:sz w:val="32"/>
          <w:szCs w:val="32"/>
        </w:rPr>
      </w:pPr>
    </w:p>
    <w:p>
      <w:pPr>
        <w:spacing w:line="584" w:lineRule="exact"/>
        <w:ind w:firstLine="643" w:firstLineChars="200"/>
        <w:rPr>
          <w:rFonts w:ascii="楷体" w:hAnsi="楷体" w:eastAsia="楷体" w:cs="Times New Roman"/>
          <w:b/>
          <w:sz w:val="32"/>
          <w:szCs w:val="32"/>
        </w:rPr>
      </w:pPr>
    </w:p>
    <w:p>
      <w:pPr>
        <w:spacing w:line="584" w:lineRule="exact"/>
        <w:ind w:firstLine="643" w:firstLineChars="200"/>
        <w:rPr>
          <w:rFonts w:ascii="楷体" w:hAnsi="楷体" w:eastAsia="楷体" w:cs="Times New Roman"/>
          <w:b/>
          <w:sz w:val="32"/>
          <w:szCs w:val="32"/>
        </w:rPr>
      </w:pPr>
    </w:p>
    <w:p>
      <w:pPr>
        <w:spacing w:line="584" w:lineRule="exact"/>
        <w:ind w:firstLine="643" w:firstLineChars="200"/>
        <w:rPr>
          <w:rFonts w:ascii="楷体" w:hAnsi="楷体" w:eastAsia="楷体" w:cs="Times New Roman"/>
          <w:b/>
          <w:sz w:val="32"/>
          <w:szCs w:val="32"/>
        </w:rPr>
      </w:pP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（四）部门整体支出绩效指标</w:t>
      </w:r>
    </w:p>
    <w:tbl>
      <w:tblPr>
        <w:tblStyle w:val="8"/>
        <w:tblW w:w="0" w:type="auto"/>
        <w:jc w:val="center"/>
        <w:tblLayout w:type="fixed"/>
        <w:tblCellMar>
          <w:top w:w="0" w:type="dxa"/>
          <w:left w:w="14" w:type="dxa"/>
          <w:bottom w:w="0" w:type="dxa"/>
          <w:right w:w="14" w:type="dxa"/>
        </w:tblCellMar>
      </w:tblPr>
      <w:tblGrid>
        <w:gridCol w:w="307"/>
        <w:gridCol w:w="381"/>
        <w:gridCol w:w="930"/>
        <w:gridCol w:w="1957"/>
        <w:gridCol w:w="2730"/>
        <w:gridCol w:w="307"/>
        <w:gridCol w:w="503"/>
        <w:gridCol w:w="426"/>
        <w:gridCol w:w="1333"/>
      </w:tblGrid>
      <w:tr>
        <w:tblPrEx>
          <w:tblCellMar>
            <w:top w:w="0" w:type="dxa"/>
            <w:left w:w="14" w:type="dxa"/>
            <w:bottom w:w="0" w:type="dxa"/>
            <w:right w:w="14" w:type="dxa"/>
          </w:tblCellMar>
        </w:tblPrEx>
        <w:trPr>
          <w:trHeight w:val="450" w:hRule="atLeast"/>
          <w:jc w:val="center"/>
        </w:trPr>
        <w:tc>
          <w:tcPr>
            <w:tcW w:w="307"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b/>
                <w:bCs/>
                <w:color w:val="000000"/>
                <w:kern w:val="0"/>
                <w:sz w:val="22"/>
                <w:lang w:val="zh-CN"/>
              </w:rPr>
              <w:t>一级</w:t>
            </w:r>
            <w:r>
              <w:rPr>
                <w:rFonts w:ascii="宋体" w:hAnsi="Times New Roman" w:cs="宋体"/>
                <w:b/>
                <w:bCs/>
                <w:color w:val="000000"/>
                <w:kern w:val="0"/>
                <w:sz w:val="22"/>
                <w:lang w:val="zh-CN"/>
              </w:rPr>
              <w:br w:type="textWrapping"/>
            </w:r>
            <w:r>
              <w:rPr>
                <w:rFonts w:hint="eastAsia" w:ascii="宋体" w:hAnsi="Times New Roman" w:cs="宋体"/>
                <w:b/>
                <w:bCs/>
                <w:color w:val="000000"/>
                <w:kern w:val="0"/>
                <w:sz w:val="22"/>
                <w:lang w:val="zh-CN"/>
              </w:rPr>
              <w:t>指标</w:t>
            </w:r>
          </w:p>
        </w:tc>
        <w:tc>
          <w:tcPr>
            <w:tcW w:w="381"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b/>
                <w:bCs/>
                <w:color w:val="000000"/>
                <w:kern w:val="0"/>
                <w:sz w:val="22"/>
                <w:lang w:val="zh-CN"/>
              </w:rPr>
              <w:t>二级</w:t>
            </w:r>
            <w:r>
              <w:rPr>
                <w:rFonts w:ascii="宋体" w:hAnsi="Times New Roman" w:cs="宋体"/>
                <w:b/>
                <w:bCs/>
                <w:color w:val="000000"/>
                <w:kern w:val="0"/>
                <w:sz w:val="22"/>
                <w:lang w:val="zh-CN"/>
              </w:rPr>
              <w:br w:type="textWrapping"/>
            </w:r>
            <w:r>
              <w:rPr>
                <w:rFonts w:hint="eastAsia" w:ascii="宋体" w:hAnsi="Times New Roman" w:cs="宋体"/>
                <w:b/>
                <w:bCs/>
                <w:color w:val="000000"/>
                <w:kern w:val="0"/>
                <w:sz w:val="22"/>
                <w:lang w:val="zh-CN"/>
              </w:rPr>
              <w:t>指标</w:t>
            </w:r>
          </w:p>
        </w:tc>
        <w:tc>
          <w:tcPr>
            <w:tcW w:w="930"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b/>
                <w:bCs/>
                <w:color w:val="000000"/>
                <w:kern w:val="0"/>
                <w:sz w:val="22"/>
                <w:lang w:val="zh-CN"/>
              </w:rPr>
              <w:t>三级指标</w:t>
            </w:r>
          </w:p>
        </w:tc>
        <w:tc>
          <w:tcPr>
            <w:tcW w:w="1957"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b/>
                <w:bCs/>
                <w:color w:val="000000"/>
                <w:kern w:val="0"/>
                <w:sz w:val="22"/>
                <w:lang w:val="zh-CN"/>
              </w:rPr>
              <w:t>绩效指标描述</w:t>
            </w:r>
          </w:p>
        </w:tc>
        <w:tc>
          <w:tcPr>
            <w:tcW w:w="2730"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b/>
                <w:bCs/>
                <w:color w:val="000000"/>
                <w:kern w:val="0"/>
                <w:sz w:val="22"/>
                <w:lang w:val="zh-CN"/>
              </w:rPr>
              <w:t>评（扣）分标准</w:t>
            </w:r>
          </w:p>
        </w:tc>
        <w:tc>
          <w:tcPr>
            <w:tcW w:w="1236" w:type="dxa"/>
            <w:gridSpan w:val="3"/>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b/>
                <w:bCs/>
                <w:color w:val="000000"/>
                <w:kern w:val="0"/>
                <w:sz w:val="22"/>
                <w:lang w:val="zh-CN"/>
              </w:rPr>
              <w:t>指标值</w:t>
            </w:r>
          </w:p>
        </w:tc>
        <w:tc>
          <w:tcPr>
            <w:tcW w:w="1333"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b/>
                <w:bCs/>
                <w:color w:val="000000"/>
                <w:kern w:val="0"/>
                <w:sz w:val="22"/>
                <w:lang w:val="zh-CN"/>
              </w:rPr>
              <w:t>指标值确定依据</w:t>
            </w:r>
          </w:p>
        </w:tc>
      </w:tr>
      <w:tr>
        <w:tblPrEx>
          <w:tblCellMar>
            <w:top w:w="0" w:type="dxa"/>
            <w:left w:w="14" w:type="dxa"/>
            <w:bottom w:w="0" w:type="dxa"/>
            <w:right w:w="14" w:type="dxa"/>
          </w:tblCellMar>
        </w:tblPrEx>
        <w:trPr>
          <w:trHeight w:val="4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Times New Roman"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Times New Roman" w:cs="宋体"/>
                <w:kern w:val="0"/>
                <w:sz w:val="22"/>
                <w:lang w:val="zh-CN"/>
              </w:rPr>
            </w:pPr>
          </w:p>
        </w:tc>
        <w:tc>
          <w:tcPr>
            <w:tcW w:w="930"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Times New Roman" w:cs="宋体"/>
                <w:kern w:val="0"/>
                <w:sz w:val="22"/>
                <w:lang w:val="zh-CN"/>
              </w:rPr>
            </w:pPr>
          </w:p>
        </w:tc>
        <w:tc>
          <w:tcPr>
            <w:tcW w:w="195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Times New Roman" w:cs="宋体"/>
                <w:kern w:val="0"/>
                <w:sz w:val="22"/>
                <w:lang w:val="zh-CN"/>
              </w:rPr>
            </w:pPr>
          </w:p>
        </w:tc>
        <w:tc>
          <w:tcPr>
            <w:tcW w:w="2730"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Times New Roman" w:cs="宋体"/>
                <w:kern w:val="0"/>
                <w:sz w:val="22"/>
                <w:lang w:val="zh-CN"/>
              </w:rPr>
            </w:pPr>
          </w:p>
        </w:tc>
        <w:tc>
          <w:tcPr>
            <w:tcW w:w="30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b/>
                <w:bCs/>
                <w:color w:val="000000"/>
                <w:kern w:val="0"/>
                <w:sz w:val="22"/>
                <w:lang w:val="zh-CN"/>
              </w:rPr>
              <w:t>符号</w:t>
            </w:r>
          </w:p>
        </w:tc>
        <w:tc>
          <w:tcPr>
            <w:tcW w:w="50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b/>
                <w:bCs/>
                <w:color w:val="000000"/>
                <w:kern w:val="0"/>
                <w:sz w:val="22"/>
                <w:lang w:val="zh-CN"/>
              </w:rPr>
              <w:t>值</w:t>
            </w:r>
          </w:p>
        </w:tc>
        <w:tc>
          <w:tcPr>
            <w:tcW w:w="42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b/>
                <w:bCs/>
                <w:color w:val="000000"/>
                <w:kern w:val="0"/>
                <w:sz w:val="22"/>
                <w:lang w:val="zh-CN"/>
              </w:rPr>
              <w:t>符号</w:t>
            </w:r>
          </w:p>
        </w:tc>
        <w:tc>
          <w:tcPr>
            <w:tcW w:w="1333"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Times New Roman" w:cs="宋体"/>
                <w:kern w:val="0"/>
                <w:sz w:val="22"/>
                <w:lang w:val="zh-CN"/>
              </w:rPr>
            </w:pPr>
          </w:p>
        </w:tc>
      </w:tr>
      <w:tr>
        <w:tblPrEx>
          <w:tblCellMar>
            <w:top w:w="0" w:type="dxa"/>
            <w:left w:w="14" w:type="dxa"/>
            <w:bottom w:w="0" w:type="dxa"/>
            <w:right w:w="14" w:type="dxa"/>
          </w:tblCellMar>
        </w:tblPrEx>
        <w:trPr>
          <w:trHeight w:val="675" w:hRule="atLeast"/>
          <w:jc w:val="center"/>
        </w:trPr>
        <w:tc>
          <w:tcPr>
            <w:tcW w:w="307"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color w:val="000000"/>
                <w:kern w:val="0"/>
                <w:sz w:val="22"/>
                <w:lang w:val="zh-CN"/>
              </w:rPr>
              <w:t>部门</w:t>
            </w:r>
            <w:r>
              <w:rPr>
                <w:rFonts w:ascii="宋体" w:hAnsi="Times New Roman" w:cs="宋体"/>
                <w:color w:val="000000"/>
                <w:kern w:val="0"/>
                <w:sz w:val="22"/>
                <w:lang w:val="zh-CN"/>
              </w:rPr>
              <w:br w:type="textWrapping"/>
            </w:r>
            <w:r>
              <w:rPr>
                <w:rFonts w:hint="eastAsia" w:ascii="宋体" w:hAnsi="Times New Roman" w:cs="宋体"/>
                <w:color w:val="000000"/>
                <w:kern w:val="0"/>
                <w:sz w:val="22"/>
                <w:lang w:val="zh-CN"/>
              </w:rPr>
              <w:t>产出</w:t>
            </w:r>
          </w:p>
        </w:tc>
        <w:tc>
          <w:tcPr>
            <w:tcW w:w="381"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Times New Roman" w:cs="宋体"/>
                <w:kern w:val="0"/>
                <w:sz w:val="22"/>
                <w:lang w:val="zh-CN"/>
              </w:rPr>
            </w:pPr>
            <w:r>
              <w:rPr>
                <w:rFonts w:hint="eastAsia" w:ascii="宋体" w:hAnsi="Times New Roman" w:cs="宋体"/>
                <w:color w:val="000000"/>
                <w:kern w:val="0"/>
                <w:sz w:val="22"/>
                <w:lang w:val="zh-CN"/>
              </w:rPr>
              <w:t>数量</w:t>
            </w: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Times New Roman" w:cs="宋体"/>
                <w:color w:val="FF0000"/>
                <w:kern w:val="0"/>
                <w:sz w:val="22"/>
                <w:lang w:val="zh-CN"/>
              </w:rPr>
            </w:pPr>
            <w:r>
              <w:rPr>
                <w:rFonts w:hint="eastAsia" w:ascii="宋体" w:hAnsi="Times New Roman" w:cs="宋体"/>
                <w:kern w:val="0"/>
                <w:sz w:val="18"/>
                <w:szCs w:val="18"/>
                <w:lang w:val="zh-CN"/>
              </w:rPr>
              <w:t>社区数量</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Times New Roman" w:cs="宋体"/>
                <w:color w:val="FF0000"/>
                <w:kern w:val="0"/>
                <w:sz w:val="22"/>
                <w:lang w:val="zh-CN"/>
              </w:rPr>
            </w:pPr>
            <w:r>
              <w:rPr>
                <w:rFonts w:hint="eastAsia" w:ascii="宋体" w:hAnsi="Times New Roman" w:cs="宋体"/>
                <w:kern w:val="0"/>
                <w:sz w:val="18"/>
                <w:szCs w:val="18"/>
                <w:lang w:val="zh-CN"/>
              </w:rPr>
              <w:t>完善社区服务设施建设、社区党员团队服务建设的社区数量</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Times New Roman" w:cs="宋体"/>
                <w:kern w:val="0"/>
                <w:sz w:val="18"/>
                <w:szCs w:val="18"/>
                <w:lang w:val="zh-CN"/>
              </w:rPr>
              <w:t>全部完成得满分；每减少</w:t>
            </w:r>
            <w:r>
              <w:rPr>
                <w:rFonts w:ascii="??_GB2312" w:hAnsi="??_GB2312" w:cs="??_GB2312"/>
                <w:kern w:val="0"/>
                <w:sz w:val="18"/>
                <w:szCs w:val="18"/>
              </w:rPr>
              <w:t>1</w:t>
            </w:r>
            <w:r>
              <w:rPr>
                <w:rFonts w:hint="eastAsia" w:ascii="宋体" w:hAnsi="??_GB2312" w:cs="宋体"/>
                <w:kern w:val="0"/>
                <w:sz w:val="18"/>
                <w:szCs w:val="18"/>
                <w:lang w:val="zh-CN"/>
              </w:rPr>
              <w:t>个，扣权重分的</w:t>
            </w:r>
            <w:r>
              <w:rPr>
                <w:rFonts w:ascii="??_GB2312" w:hAnsi="??_GB2312" w:cs="??_GB2312"/>
                <w:kern w:val="0"/>
                <w:sz w:val="18"/>
                <w:szCs w:val="18"/>
              </w:rPr>
              <w:t>10%</w:t>
            </w:r>
            <w:r>
              <w:rPr>
                <w:rFonts w:hint="eastAsia" w:ascii="宋体" w:hAnsi="??_GB2312" w:cs="宋体"/>
                <w:kern w:val="0"/>
                <w:sz w:val="18"/>
                <w:szCs w:val="18"/>
                <w:lang w:val="zh-CN"/>
              </w:rPr>
              <w:t>，低于</w:t>
            </w:r>
            <w:r>
              <w:rPr>
                <w:rFonts w:ascii="??_GB2312" w:hAnsi="??_GB2312" w:cs="??_GB2312"/>
                <w:kern w:val="0"/>
                <w:sz w:val="18"/>
                <w:szCs w:val="18"/>
              </w:rPr>
              <w:t>60%</w:t>
            </w:r>
            <w:r>
              <w:rPr>
                <w:rFonts w:hint="eastAsia" w:ascii="宋体" w:hAnsi="??_GB2312" w:cs="宋体"/>
                <w:kern w:val="0"/>
                <w:sz w:val="18"/>
                <w:szCs w:val="18"/>
                <w:lang w:val="zh-CN"/>
              </w:rPr>
              <w:t>不得分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kern w:val="0"/>
                <w:sz w:val="18"/>
                <w:szCs w:val="18"/>
              </w:rPr>
              <w:t>13</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kern w:val="0"/>
                <w:sz w:val="18"/>
                <w:szCs w:val="18"/>
                <w:lang w:val="zh-CN"/>
              </w:rPr>
              <w:t>个</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kern w:val="0"/>
                <w:sz w:val="18"/>
                <w:szCs w:val="18"/>
                <w:lang w:val="zh-CN"/>
              </w:rPr>
              <w:t>工作计划、需求分析</w:t>
            </w:r>
          </w:p>
        </w:tc>
      </w:tr>
      <w:tr>
        <w:tblPrEx>
          <w:tblCellMar>
            <w:top w:w="0" w:type="dxa"/>
            <w:left w:w="14" w:type="dxa"/>
            <w:bottom w:w="0" w:type="dxa"/>
            <w:right w:w="14" w:type="dxa"/>
          </w:tblCellMar>
        </w:tblPrEx>
        <w:trPr>
          <w:trHeight w:val="675"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改造小区数量</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平房小区公共基础设施提升改造工程数量</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全部完成得满分；每减少</w:t>
            </w:r>
            <w:r>
              <w:rPr>
                <w:rFonts w:ascii="??_GB2312" w:hAnsi="??_GB2312" w:cs="??_GB2312"/>
                <w:color w:val="000000"/>
                <w:kern w:val="0"/>
                <w:sz w:val="18"/>
                <w:szCs w:val="18"/>
              </w:rPr>
              <w:t>1</w:t>
            </w:r>
            <w:r>
              <w:rPr>
                <w:rFonts w:hint="eastAsia" w:ascii="宋体" w:hAnsi="??_GB2312" w:cs="宋体"/>
                <w:color w:val="000000"/>
                <w:kern w:val="0"/>
                <w:sz w:val="18"/>
                <w:szCs w:val="18"/>
                <w:lang w:val="zh-CN"/>
              </w:rPr>
              <w:t>个，扣权重分的</w:t>
            </w:r>
            <w:r>
              <w:rPr>
                <w:rFonts w:ascii="??_GB2312" w:hAnsi="??_GB2312" w:cs="??_GB2312"/>
                <w:color w:val="000000"/>
                <w:kern w:val="0"/>
                <w:sz w:val="18"/>
                <w:szCs w:val="18"/>
              </w:rPr>
              <w:t>10%</w:t>
            </w:r>
            <w:r>
              <w:rPr>
                <w:rFonts w:hint="eastAsia" w:ascii="宋体" w:hAnsi="??_GB2312" w:cs="宋体"/>
                <w:color w:val="000000"/>
                <w:kern w:val="0"/>
                <w:sz w:val="18"/>
                <w:szCs w:val="18"/>
                <w:lang w:val="zh-CN"/>
              </w:rPr>
              <w:t>，低于</w:t>
            </w:r>
            <w:r>
              <w:rPr>
                <w:rFonts w:ascii="??_GB2312" w:hAnsi="??_GB2312" w:cs="??_GB2312"/>
                <w:color w:val="000000"/>
                <w:kern w:val="0"/>
                <w:sz w:val="18"/>
                <w:szCs w:val="18"/>
              </w:rPr>
              <w:t>60%</w:t>
            </w:r>
            <w:r>
              <w:rPr>
                <w:rFonts w:hint="eastAsia" w:ascii="宋体" w:hAnsi="??_GB2312" w:cs="宋体"/>
                <w:color w:val="000000"/>
                <w:kern w:val="0"/>
                <w:sz w:val="18"/>
                <w:szCs w:val="18"/>
                <w:lang w:val="zh-CN"/>
              </w:rPr>
              <w:t>不得分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6</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个</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工作计划、需求分析</w:t>
            </w:r>
          </w:p>
        </w:tc>
      </w:tr>
      <w:tr>
        <w:tblPrEx>
          <w:tblCellMar>
            <w:top w:w="0" w:type="dxa"/>
            <w:left w:w="14" w:type="dxa"/>
            <w:bottom w:w="0" w:type="dxa"/>
            <w:right w:w="14" w:type="dxa"/>
          </w:tblCellMar>
        </w:tblPrEx>
        <w:trPr>
          <w:trHeight w:val="7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楼门栋长人数</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保证</w:t>
            </w:r>
            <w:r>
              <w:rPr>
                <w:rFonts w:ascii="??_GB2312" w:hAnsi="??_GB2312" w:cs="??_GB2312"/>
                <w:color w:val="000000"/>
                <w:kern w:val="0"/>
                <w:sz w:val="18"/>
                <w:szCs w:val="18"/>
              </w:rPr>
              <w:t>355</w:t>
            </w:r>
            <w:r>
              <w:rPr>
                <w:rFonts w:hint="eastAsia" w:ascii="宋体" w:hAnsi="??_GB2312" w:cs="宋体"/>
                <w:color w:val="000000"/>
                <w:kern w:val="0"/>
                <w:sz w:val="18"/>
                <w:szCs w:val="18"/>
                <w:lang w:val="zh-CN"/>
              </w:rPr>
              <w:t>名人员到岗工作</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达成目标得满分，未完成（实际完成量</w:t>
            </w:r>
            <w:r>
              <w:rPr>
                <w:rFonts w:ascii="??_GB2312" w:hAnsi="??_GB2312" w:cs="??_GB2312"/>
                <w:color w:val="000000"/>
                <w:kern w:val="0"/>
                <w:sz w:val="18"/>
                <w:szCs w:val="18"/>
              </w:rPr>
              <w:t>/</w:t>
            </w:r>
            <w:r>
              <w:rPr>
                <w:rFonts w:hint="eastAsia" w:ascii="宋体" w:hAnsi="??_GB2312" w:cs="宋体"/>
                <w:color w:val="000000"/>
                <w:kern w:val="0"/>
                <w:sz w:val="18"/>
                <w:szCs w:val="18"/>
                <w:lang w:val="zh-CN"/>
              </w:rPr>
              <w:t>计划完成量）</w:t>
            </w:r>
            <w:r>
              <w:rPr>
                <w:rFonts w:ascii="??_GB2312" w:hAnsi="??_GB2312" w:cs="??_GB2312"/>
                <w:color w:val="000000"/>
                <w:kern w:val="0"/>
                <w:sz w:val="18"/>
                <w:szCs w:val="18"/>
              </w:rPr>
              <w:t>*100%</w:t>
            </w:r>
            <w:r>
              <w:rPr>
                <w:rFonts w:hint="eastAsia" w:ascii="宋体" w:hAnsi="??_GB2312" w:cs="宋体"/>
                <w:color w:val="000000"/>
                <w:kern w:val="0"/>
                <w:sz w:val="18"/>
                <w:szCs w:val="18"/>
                <w:lang w:val="zh-CN"/>
              </w:rPr>
              <w:t>。</w:t>
            </w:r>
          </w:p>
        </w:tc>
        <w:tc>
          <w:tcPr>
            <w:tcW w:w="30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20"/>
                <w:szCs w:val="20"/>
                <w:lang w:val="zh-CN"/>
              </w:rPr>
              <w:t>＝</w:t>
            </w:r>
          </w:p>
        </w:tc>
        <w:tc>
          <w:tcPr>
            <w:tcW w:w="50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20"/>
                <w:szCs w:val="20"/>
              </w:rPr>
              <w:t>355</w:t>
            </w:r>
          </w:p>
        </w:tc>
        <w:tc>
          <w:tcPr>
            <w:tcW w:w="42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20"/>
                <w:szCs w:val="20"/>
                <w:lang w:val="zh-CN"/>
              </w:rPr>
              <w:t>名</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工作计划、需求分析</w:t>
            </w:r>
          </w:p>
        </w:tc>
      </w:tr>
      <w:tr>
        <w:tblPrEx>
          <w:tblCellMar>
            <w:top w:w="0" w:type="dxa"/>
            <w:left w:w="14" w:type="dxa"/>
            <w:bottom w:w="0" w:type="dxa"/>
            <w:right w:w="14" w:type="dxa"/>
          </w:tblCellMar>
        </w:tblPrEx>
        <w:trPr>
          <w:trHeight w:val="7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活动次数</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新时代文明实践所一年举办的活动次数</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全部完成得满分；每减少</w:t>
            </w:r>
            <w:r>
              <w:rPr>
                <w:rFonts w:ascii="??_GB2312" w:hAnsi="??_GB2312" w:cs="??_GB2312"/>
                <w:color w:val="000000"/>
                <w:kern w:val="0"/>
                <w:sz w:val="18"/>
                <w:szCs w:val="18"/>
              </w:rPr>
              <w:t>1</w:t>
            </w:r>
            <w:r>
              <w:rPr>
                <w:rFonts w:hint="eastAsia" w:ascii="宋体" w:hAnsi="??_GB2312" w:cs="宋体"/>
                <w:color w:val="000000"/>
                <w:kern w:val="0"/>
                <w:sz w:val="18"/>
                <w:szCs w:val="18"/>
                <w:lang w:val="zh-CN"/>
              </w:rPr>
              <w:t>个，扣权重分的</w:t>
            </w:r>
            <w:r>
              <w:rPr>
                <w:rFonts w:ascii="??_GB2312" w:hAnsi="??_GB2312" w:cs="??_GB2312"/>
                <w:color w:val="000000"/>
                <w:kern w:val="0"/>
                <w:sz w:val="18"/>
                <w:szCs w:val="18"/>
              </w:rPr>
              <w:t>10%</w:t>
            </w:r>
            <w:r>
              <w:rPr>
                <w:rFonts w:hint="eastAsia" w:ascii="宋体" w:hAnsi="??_GB2312" w:cs="宋体"/>
                <w:color w:val="000000"/>
                <w:kern w:val="0"/>
                <w:sz w:val="18"/>
                <w:szCs w:val="18"/>
                <w:lang w:val="zh-CN"/>
              </w:rPr>
              <w:t>，低于</w:t>
            </w:r>
            <w:r>
              <w:rPr>
                <w:rFonts w:ascii="??_GB2312" w:hAnsi="??_GB2312" w:cs="??_GB2312"/>
                <w:color w:val="000000"/>
                <w:kern w:val="0"/>
                <w:sz w:val="18"/>
                <w:szCs w:val="18"/>
              </w:rPr>
              <w:t>60%</w:t>
            </w:r>
            <w:r>
              <w:rPr>
                <w:rFonts w:hint="eastAsia" w:ascii="宋体" w:hAnsi="??_GB2312" w:cs="宋体"/>
                <w:color w:val="000000"/>
                <w:kern w:val="0"/>
                <w:sz w:val="18"/>
                <w:szCs w:val="18"/>
                <w:lang w:val="zh-CN"/>
              </w:rPr>
              <w:t>不得分。</w:t>
            </w:r>
          </w:p>
        </w:tc>
        <w:tc>
          <w:tcPr>
            <w:tcW w:w="30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仿宋" w:hAnsi="??_GB2312" w:eastAsia="仿宋" w:cs="仿宋"/>
                <w:color w:val="000000"/>
                <w:kern w:val="0"/>
                <w:sz w:val="20"/>
                <w:szCs w:val="20"/>
                <w:lang w:val="zh-CN"/>
              </w:rPr>
              <w:t>≥</w:t>
            </w:r>
          </w:p>
        </w:tc>
        <w:tc>
          <w:tcPr>
            <w:tcW w:w="50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ascii="仿宋" w:hAnsi="??_GB2312" w:eastAsia="仿宋" w:cs="仿宋"/>
                <w:color w:val="000000"/>
                <w:kern w:val="0"/>
                <w:sz w:val="20"/>
                <w:szCs w:val="20"/>
                <w:lang w:val="zh-CN"/>
              </w:rPr>
              <w:t xml:space="preserve">40 </w:t>
            </w:r>
          </w:p>
        </w:tc>
        <w:tc>
          <w:tcPr>
            <w:tcW w:w="42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仿宋" w:hAnsi="??_GB2312" w:eastAsia="仿宋" w:cs="仿宋"/>
                <w:color w:val="000000"/>
                <w:kern w:val="0"/>
                <w:sz w:val="20"/>
                <w:szCs w:val="20"/>
                <w:lang w:val="zh-CN"/>
              </w:rPr>
              <w:t>次</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统计</w:t>
            </w:r>
          </w:p>
        </w:tc>
      </w:tr>
      <w:tr>
        <w:tblPrEx>
          <w:tblCellMar>
            <w:top w:w="0" w:type="dxa"/>
            <w:left w:w="14" w:type="dxa"/>
            <w:bottom w:w="0" w:type="dxa"/>
            <w:right w:w="14" w:type="dxa"/>
          </w:tblCellMar>
        </w:tblPrEx>
        <w:trPr>
          <w:trHeight w:val="7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专项维稳项目数量</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专项维稳项目数量情况</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全部完成得满分；每减少</w:t>
            </w:r>
            <w:r>
              <w:rPr>
                <w:rFonts w:ascii="??_GB2312" w:hAnsi="??_GB2312" w:cs="??_GB2312"/>
                <w:color w:val="000000"/>
                <w:kern w:val="0"/>
                <w:sz w:val="18"/>
                <w:szCs w:val="18"/>
              </w:rPr>
              <w:t>1</w:t>
            </w:r>
            <w:r>
              <w:rPr>
                <w:rFonts w:hint="eastAsia" w:ascii="宋体" w:hAnsi="??_GB2312" w:cs="宋体"/>
                <w:color w:val="000000"/>
                <w:kern w:val="0"/>
                <w:sz w:val="18"/>
                <w:szCs w:val="18"/>
                <w:lang w:val="zh-CN"/>
              </w:rPr>
              <w:t>个，扣权重分的</w:t>
            </w:r>
            <w:r>
              <w:rPr>
                <w:rFonts w:ascii="??_GB2312" w:hAnsi="??_GB2312" w:cs="??_GB2312"/>
                <w:color w:val="000000"/>
                <w:kern w:val="0"/>
                <w:sz w:val="18"/>
                <w:szCs w:val="18"/>
              </w:rPr>
              <w:t>10%</w:t>
            </w:r>
            <w:r>
              <w:rPr>
                <w:rFonts w:hint="eastAsia" w:ascii="宋体" w:hAnsi="??_GB2312" w:cs="宋体"/>
                <w:color w:val="000000"/>
                <w:kern w:val="0"/>
                <w:sz w:val="18"/>
                <w:szCs w:val="18"/>
                <w:lang w:val="zh-CN"/>
              </w:rPr>
              <w:t>，低于</w:t>
            </w:r>
            <w:r>
              <w:rPr>
                <w:rFonts w:ascii="??_GB2312" w:hAnsi="??_GB2312" w:cs="??_GB2312"/>
                <w:color w:val="000000"/>
                <w:kern w:val="0"/>
                <w:sz w:val="18"/>
                <w:szCs w:val="18"/>
              </w:rPr>
              <w:t>60%</w:t>
            </w:r>
            <w:r>
              <w:rPr>
                <w:rFonts w:hint="eastAsia" w:ascii="宋体" w:hAnsi="??_GB2312" w:cs="宋体"/>
                <w:color w:val="000000"/>
                <w:kern w:val="0"/>
                <w:sz w:val="18"/>
                <w:szCs w:val="18"/>
                <w:lang w:val="zh-CN"/>
              </w:rPr>
              <w:t>不得分</w:t>
            </w:r>
          </w:p>
        </w:tc>
        <w:tc>
          <w:tcPr>
            <w:tcW w:w="30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仿宋" w:hAnsi="??_GB2312" w:eastAsia="仿宋" w:cs="仿宋"/>
                <w:color w:val="000000"/>
                <w:kern w:val="0"/>
                <w:sz w:val="20"/>
                <w:szCs w:val="20"/>
                <w:lang w:val="zh-CN"/>
              </w:rPr>
              <w:t>≥</w:t>
            </w:r>
          </w:p>
        </w:tc>
        <w:tc>
          <w:tcPr>
            <w:tcW w:w="50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ascii="仿宋" w:hAnsi="??_GB2312" w:eastAsia="仿宋" w:cs="仿宋"/>
                <w:color w:val="000000"/>
                <w:kern w:val="0"/>
                <w:sz w:val="20"/>
                <w:szCs w:val="20"/>
                <w:lang w:val="zh-CN"/>
              </w:rPr>
              <w:t>5</w:t>
            </w:r>
          </w:p>
        </w:tc>
        <w:tc>
          <w:tcPr>
            <w:tcW w:w="42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仿宋" w:hAnsi="??_GB2312" w:eastAsia="仿宋" w:cs="仿宋"/>
                <w:color w:val="000000"/>
                <w:kern w:val="0"/>
                <w:sz w:val="20"/>
                <w:szCs w:val="20"/>
                <w:lang w:val="zh-CN"/>
              </w:rPr>
              <w:t>个</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根据历年工作经验及</w:t>
            </w:r>
            <w:r>
              <w:rPr>
                <w:rFonts w:ascii="??_GB2312" w:hAnsi="??_GB2312" w:cs="??_GB2312"/>
                <w:color w:val="000000"/>
                <w:kern w:val="0"/>
                <w:sz w:val="18"/>
                <w:szCs w:val="18"/>
              </w:rPr>
              <w:t>2022</w:t>
            </w:r>
            <w:r>
              <w:rPr>
                <w:rFonts w:hint="eastAsia" w:ascii="宋体" w:hAnsi="??_GB2312" w:cs="宋体"/>
                <w:color w:val="000000"/>
                <w:kern w:val="0"/>
                <w:sz w:val="18"/>
                <w:szCs w:val="18"/>
                <w:lang w:val="zh-CN"/>
              </w:rPr>
              <w:t>年工作计划所得</w:t>
            </w:r>
          </w:p>
        </w:tc>
      </w:tr>
      <w:tr>
        <w:tblPrEx>
          <w:tblCellMar>
            <w:top w:w="0" w:type="dxa"/>
            <w:left w:w="14" w:type="dxa"/>
            <w:bottom w:w="0" w:type="dxa"/>
            <w:right w:w="14" w:type="dxa"/>
          </w:tblCellMar>
        </w:tblPrEx>
        <w:trPr>
          <w:trHeight w:val="4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22"/>
                <w:lang w:val="zh-CN"/>
              </w:rPr>
              <w:t>质量</w:t>
            </w: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服务到位率</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社区补贴实际到位情况</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每下降</w:t>
            </w:r>
            <w:r>
              <w:rPr>
                <w:rFonts w:ascii="??_GB2312" w:hAnsi="??_GB2312" w:cs="??_GB2312"/>
                <w:color w:val="000000"/>
                <w:kern w:val="0"/>
                <w:sz w:val="18"/>
                <w:szCs w:val="18"/>
              </w:rPr>
              <w:t>5%</w:t>
            </w:r>
            <w:r>
              <w:rPr>
                <w:rFonts w:hint="eastAsia" w:ascii="宋体" w:hAnsi="??_GB2312" w:cs="宋体"/>
                <w:color w:val="000000"/>
                <w:kern w:val="0"/>
                <w:sz w:val="18"/>
                <w:szCs w:val="18"/>
                <w:lang w:val="zh-CN"/>
              </w:rPr>
              <w:t>，减质量分值</w:t>
            </w:r>
            <w:r>
              <w:rPr>
                <w:rFonts w:ascii="??_GB2312" w:hAnsi="??_GB2312" w:cs="??_GB2312"/>
                <w:color w:val="000000"/>
                <w:kern w:val="0"/>
                <w:sz w:val="18"/>
                <w:szCs w:val="18"/>
              </w:rPr>
              <w:t>5%</w:t>
            </w:r>
            <w:r>
              <w:rPr>
                <w:rFonts w:hint="eastAsia" w:ascii="宋体" w:hAnsi="??_GB2312" w:cs="宋体"/>
                <w:color w:val="000000"/>
                <w:kern w:val="0"/>
                <w:sz w:val="18"/>
                <w:szCs w:val="18"/>
                <w:lang w:val="zh-CN"/>
              </w:rPr>
              <w:t>，发放比率低于</w:t>
            </w:r>
            <w:r>
              <w:rPr>
                <w:rFonts w:ascii="??_GB2312" w:hAnsi="??_GB2312" w:cs="??_GB2312"/>
                <w:color w:val="000000"/>
                <w:kern w:val="0"/>
                <w:sz w:val="18"/>
                <w:szCs w:val="18"/>
              </w:rPr>
              <w:t>60%</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100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实施方案</w:t>
            </w:r>
          </w:p>
        </w:tc>
      </w:tr>
      <w:tr>
        <w:tblPrEx>
          <w:tblCellMar>
            <w:top w:w="0" w:type="dxa"/>
            <w:left w:w="14" w:type="dxa"/>
            <w:bottom w:w="0" w:type="dxa"/>
            <w:right w:w="14" w:type="dxa"/>
          </w:tblCellMar>
        </w:tblPrEx>
        <w:trPr>
          <w:trHeight w:val="4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工程验收合格率</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验收合格的数量与全部改造小区的数量之比</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验收合格率为</w:t>
            </w:r>
            <w:r>
              <w:rPr>
                <w:rFonts w:ascii="??_GB2312" w:hAnsi="??_GB2312" w:cs="??_GB2312"/>
                <w:color w:val="000000"/>
                <w:kern w:val="0"/>
                <w:sz w:val="18"/>
                <w:szCs w:val="18"/>
              </w:rPr>
              <w:t>100%</w:t>
            </w:r>
            <w:r>
              <w:rPr>
                <w:rFonts w:hint="eastAsia" w:ascii="宋体" w:hAnsi="??_GB2312" w:cs="宋体"/>
                <w:color w:val="000000"/>
                <w:kern w:val="0"/>
                <w:sz w:val="18"/>
                <w:szCs w:val="18"/>
                <w:lang w:val="zh-CN"/>
              </w:rPr>
              <w:t>得满分，每降低</w:t>
            </w:r>
            <w:r>
              <w:rPr>
                <w:rFonts w:ascii="??_GB2312" w:hAnsi="??_GB2312" w:cs="??_GB2312"/>
                <w:color w:val="000000"/>
                <w:kern w:val="0"/>
                <w:sz w:val="18"/>
                <w:szCs w:val="18"/>
              </w:rPr>
              <w:t>5%</w:t>
            </w:r>
            <w:r>
              <w:rPr>
                <w:rFonts w:hint="eastAsia" w:ascii="宋体" w:hAnsi="??_GB2312" w:cs="宋体"/>
                <w:color w:val="000000"/>
                <w:kern w:val="0"/>
                <w:sz w:val="18"/>
                <w:szCs w:val="18"/>
                <w:lang w:val="zh-CN"/>
              </w:rPr>
              <w:t>，扣指标分值的</w:t>
            </w:r>
            <w:r>
              <w:rPr>
                <w:rFonts w:ascii="??_GB2312" w:hAnsi="??_GB2312" w:cs="??_GB2312"/>
                <w:color w:val="000000"/>
                <w:kern w:val="0"/>
                <w:sz w:val="18"/>
                <w:szCs w:val="18"/>
              </w:rPr>
              <w:t>10%</w:t>
            </w:r>
            <w:r>
              <w:rPr>
                <w:rFonts w:hint="eastAsia" w:ascii="宋体" w:hAnsi="??_GB2312" w:cs="宋体"/>
                <w:color w:val="000000"/>
                <w:kern w:val="0"/>
                <w:sz w:val="18"/>
                <w:szCs w:val="18"/>
                <w:lang w:val="zh-CN"/>
              </w:rPr>
              <w:t>，验收合格率低于</w:t>
            </w:r>
            <w:r>
              <w:rPr>
                <w:rFonts w:ascii="??_GB2312" w:hAnsi="??_GB2312" w:cs="??_GB2312"/>
                <w:color w:val="000000"/>
                <w:kern w:val="0"/>
                <w:sz w:val="18"/>
                <w:szCs w:val="18"/>
              </w:rPr>
              <w:t>60%</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100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验收标准</w:t>
            </w:r>
          </w:p>
        </w:tc>
      </w:tr>
      <w:tr>
        <w:tblPrEx>
          <w:tblCellMar>
            <w:top w:w="0" w:type="dxa"/>
            <w:left w:w="14" w:type="dxa"/>
            <w:bottom w:w="0" w:type="dxa"/>
            <w:right w:w="14" w:type="dxa"/>
          </w:tblCellMar>
        </w:tblPrEx>
        <w:trPr>
          <w:trHeight w:val="4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劳务发放率</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楼门栋长实际发放的金额占计划发放金额的比率</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达成目标得满分，未完成（实际完成量</w:t>
            </w:r>
            <w:r>
              <w:rPr>
                <w:rFonts w:ascii="??_GB2312" w:hAnsi="??_GB2312" w:cs="??_GB2312"/>
                <w:color w:val="000000"/>
                <w:kern w:val="0"/>
                <w:sz w:val="18"/>
                <w:szCs w:val="18"/>
              </w:rPr>
              <w:t>/</w:t>
            </w:r>
            <w:r>
              <w:rPr>
                <w:rFonts w:hint="eastAsia" w:ascii="宋体" w:hAnsi="??_GB2312" w:cs="宋体"/>
                <w:color w:val="000000"/>
                <w:kern w:val="0"/>
                <w:sz w:val="18"/>
                <w:szCs w:val="18"/>
                <w:lang w:val="zh-CN"/>
              </w:rPr>
              <w:t>计划完成量）</w:t>
            </w:r>
            <w:r>
              <w:rPr>
                <w:rFonts w:ascii="??_GB2312" w:hAnsi="??_GB2312" w:cs="??_GB2312"/>
                <w:color w:val="000000"/>
                <w:kern w:val="0"/>
                <w:sz w:val="18"/>
                <w:szCs w:val="18"/>
              </w:rPr>
              <w:t>*100%</w:t>
            </w:r>
            <w:r>
              <w:rPr>
                <w:rFonts w:hint="eastAsia" w:ascii="宋体" w:hAnsi="??_GB2312" w:cs="宋体"/>
                <w:color w:val="000000"/>
                <w:kern w:val="0"/>
                <w:sz w:val="18"/>
                <w:szCs w:val="18"/>
                <w:lang w:val="zh-CN"/>
              </w:rPr>
              <w:t>。</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100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实施方案</w:t>
            </w:r>
          </w:p>
        </w:tc>
      </w:tr>
      <w:tr>
        <w:tblPrEx>
          <w:tblCellMar>
            <w:top w:w="0" w:type="dxa"/>
            <w:left w:w="14" w:type="dxa"/>
            <w:bottom w:w="0" w:type="dxa"/>
            <w:right w:w="14" w:type="dxa"/>
          </w:tblCellMar>
        </w:tblPrEx>
        <w:trPr>
          <w:trHeight w:val="4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合格率</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新时代文明实践所活动物品、宣传物料合格率</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每下降</w:t>
            </w:r>
            <w:r>
              <w:rPr>
                <w:rFonts w:ascii="??_GB2312" w:hAnsi="??_GB2312" w:cs="??_GB2312"/>
                <w:color w:val="000000"/>
                <w:kern w:val="0"/>
                <w:sz w:val="18"/>
                <w:szCs w:val="18"/>
              </w:rPr>
              <w:t>5%</w:t>
            </w:r>
            <w:r>
              <w:rPr>
                <w:rFonts w:hint="eastAsia" w:ascii="宋体" w:hAnsi="??_GB2312" w:cs="宋体"/>
                <w:color w:val="000000"/>
                <w:kern w:val="0"/>
                <w:sz w:val="18"/>
                <w:szCs w:val="18"/>
                <w:lang w:val="zh-CN"/>
              </w:rPr>
              <w:t>，减质量分值</w:t>
            </w:r>
            <w:r>
              <w:rPr>
                <w:rFonts w:ascii="??_GB2312" w:hAnsi="??_GB2312" w:cs="??_GB2312"/>
                <w:color w:val="000000"/>
                <w:kern w:val="0"/>
                <w:sz w:val="18"/>
                <w:szCs w:val="18"/>
              </w:rPr>
              <w:t>5%</w:t>
            </w:r>
            <w:r>
              <w:rPr>
                <w:rFonts w:hint="eastAsia" w:ascii="宋体" w:hAnsi="??_GB2312" w:cs="宋体"/>
                <w:color w:val="000000"/>
                <w:kern w:val="0"/>
                <w:sz w:val="18"/>
                <w:szCs w:val="18"/>
                <w:lang w:val="zh-CN"/>
              </w:rPr>
              <w:t>，发放比率低于</w:t>
            </w:r>
            <w:r>
              <w:rPr>
                <w:rFonts w:ascii="??_GB2312" w:hAnsi="??_GB2312" w:cs="??_GB2312"/>
                <w:color w:val="000000"/>
                <w:kern w:val="0"/>
                <w:sz w:val="18"/>
                <w:szCs w:val="18"/>
              </w:rPr>
              <w:t>60%</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ascii="仿宋" w:hAnsi="??_GB2312" w:eastAsia="仿宋" w:cs="仿宋"/>
                <w:color w:val="000000"/>
                <w:kern w:val="0"/>
                <w:sz w:val="20"/>
                <w:szCs w:val="20"/>
                <w:lang w:val="zh-CN"/>
              </w:rPr>
              <w:t>=</w:t>
            </w:r>
          </w:p>
        </w:tc>
        <w:tc>
          <w:tcPr>
            <w:tcW w:w="50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ascii="仿宋" w:hAnsi="??_GB2312" w:eastAsia="仿宋" w:cs="仿宋"/>
                <w:color w:val="000000"/>
                <w:kern w:val="0"/>
                <w:sz w:val="20"/>
                <w:szCs w:val="20"/>
                <w:lang w:val="zh-CN"/>
              </w:rPr>
              <w:t xml:space="preserve">100 </w:t>
            </w:r>
          </w:p>
        </w:tc>
        <w:tc>
          <w:tcPr>
            <w:tcW w:w="42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ascii="仿宋" w:hAnsi="??_GB2312" w:eastAsia="仿宋" w:cs="仿宋"/>
                <w:color w:val="000000"/>
                <w:kern w:val="0"/>
                <w:sz w:val="20"/>
                <w:szCs w:val="20"/>
                <w:lang w:val="zh-CN"/>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行业标准</w:t>
            </w:r>
          </w:p>
        </w:tc>
      </w:tr>
      <w:tr>
        <w:tblPrEx>
          <w:tblCellMar>
            <w:top w:w="0" w:type="dxa"/>
            <w:left w:w="14" w:type="dxa"/>
            <w:bottom w:w="0" w:type="dxa"/>
            <w:right w:w="14" w:type="dxa"/>
          </w:tblCellMar>
        </w:tblPrEx>
        <w:trPr>
          <w:trHeight w:val="4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涉稳舆情处置率</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处置的涉稳舆情数占涉稳网络舆情总数的比率</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每下降</w:t>
            </w:r>
            <w:r>
              <w:rPr>
                <w:rFonts w:ascii="??_GB2312" w:hAnsi="??_GB2312" w:cs="??_GB2312"/>
                <w:color w:val="000000"/>
                <w:kern w:val="0"/>
                <w:sz w:val="18"/>
                <w:szCs w:val="18"/>
              </w:rPr>
              <w:t>5%</w:t>
            </w:r>
            <w:r>
              <w:rPr>
                <w:rFonts w:hint="eastAsia" w:ascii="宋体" w:hAnsi="??_GB2312" w:cs="宋体"/>
                <w:color w:val="000000"/>
                <w:kern w:val="0"/>
                <w:sz w:val="18"/>
                <w:szCs w:val="18"/>
                <w:lang w:val="zh-CN"/>
              </w:rPr>
              <w:t>，减质量分值</w:t>
            </w:r>
            <w:r>
              <w:rPr>
                <w:rFonts w:ascii="??_GB2312" w:hAnsi="??_GB2312" w:cs="??_GB2312"/>
                <w:color w:val="000000"/>
                <w:kern w:val="0"/>
                <w:sz w:val="18"/>
                <w:szCs w:val="18"/>
              </w:rPr>
              <w:t>5%</w:t>
            </w:r>
            <w:r>
              <w:rPr>
                <w:rFonts w:hint="eastAsia" w:ascii="宋体" w:hAnsi="??_GB2312" w:cs="宋体"/>
                <w:color w:val="000000"/>
                <w:kern w:val="0"/>
                <w:sz w:val="18"/>
                <w:szCs w:val="18"/>
                <w:lang w:val="zh-CN"/>
              </w:rPr>
              <w:t>，发放比率低于</w:t>
            </w:r>
            <w:r>
              <w:rPr>
                <w:rFonts w:ascii="??_GB2312" w:hAnsi="??_GB2312" w:cs="??_GB2312"/>
                <w:color w:val="000000"/>
                <w:kern w:val="0"/>
                <w:sz w:val="18"/>
                <w:szCs w:val="18"/>
              </w:rPr>
              <w:t>60%</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100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维稳工作的要求及完成标准</w:t>
            </w:r>
          </w:p>
        </w:tc>
      </w:tr>
      <w:tr>
        <w:tblPrEx>
          <w:tblCellMar>
            <w:top w:w="0" w:type="dxa"/>
            <w:left w:w="14" w:type="dxa"/>
            <w:bottom w:w="0" w:type="dxa"/>
            <w:right w:w="14" w:type="dxa"/>
          </w:tblCellMar>
        </w:tblPrEx>
        <w:trPr>
          <w:trHeight w:val="585"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22"/>
                <w:lang w:val="zh-CN"/>
              </w:rPr>
              <w:t>时效</w:t>
            </w: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社区服务工作及时性</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为社区服务工作在规定时间内完成</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达成目标得满分，每延期一天减时效分值</w:t>
            </w:r>
            <w:r>
              <w:rPr>
                <w:rFonts w:ascii="??_GB2312" w:hAnsi="??_GB2312" w:cs="??_GB2312"/>
                <w:color w:val="000000"/>
                <w:kern w:val="0"/>
                <w:sz w:val="18"/>
                <w:szCs w:val="18"/>
              </w:rPr>
              <w:t>1%</w:t>
            </w:r>
            <w:r>
              <w:rPr>
                <w:rFonts w:hint="eastAsia" w:ascii="宋体" w:hAnsi="??_GB2312" w:cs="宋体"/>
                <w:color w:val="000000"/>
                <w:kern w:val="0"/>
                <w:sz w:val="18"/>
                <w:szCs w:val="18"/>
                <w:lang w:val="zh-CN"/>
              </w:rPr>
              <w:t>，延期超过</w:t>
            </w:r>
            <w:r>
              <w:rPr>
                <w:rFonts w:ascii="??_GB2312" w:hAnsi="??_GB2312" w:cs="??_GB2312"/>
                <w:color w:val="000000"/>
                <w:kern w:val="0"/>
                <w:sz w:val="18"/>
                <w:szCs w:val="18"/>
              </w:rPr>
              <w:t>50%</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100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实施方案</w:t>
            </w:r>
          </w:p>
        </w:tc>
      </w:tr>
      <w:tr>
        <w:tblPrEx>
          <w:tblCellMar>
            <w:top w:w="0" w:type="dxa"/>
            <w:left w:w="14" w:type="dxa"/>
            <w:bottom w:w="0" w:type="dxa"/>
            <w:right w:w="14" w:type="dxa"/>
          </w:tblCellMar>
        </w:tblPrEx>
        <w:trPr>
          <w:trHeight w:val="615"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程竣工时间</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平房小区公共基础设施提升改造工程竣工时间</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按时完工得满分，完工时间每延迟</w:t>
            </w:r>
            <w:r>
              <w:rPr>
                <w:rFonts w:ascii="??_GB2312" w:hAnsi="??_GB2312" w:cs="??_GB2312"/>
                <w:color w:val="000000"/>
                <w:kern w:val="0"/>
                <w:sz w:val="18"/>
                <w:szCs w:val="18"/>
              </w:rPr>
              <w:t>10%</w:t>
            </w:r>
            <w:r>
              <w:rPr>
                <w:rFonts w:hint="eastAsia" w:ascii="宋体" w:hAnsi="??_GB2312" w:cs="宋体"/>
                <w:color w:val="000000"/>
                <w:kern w:val="0"/>
                <w:sz w:val="18"/>
                <w:szCs w:val="18"/>
                <w:lang w:val="zh-CN"/>
              </w:rPr>
              <w:t>，扣该指标分值的</w:t>
            </w:r>
            <w:r>
              <w:rPr>
                <w:rFonts w:ascii="??_GB2312" w:hAnsi="??_GB2312" w:cs="??_GB2312"/>
                <w:color w:val="000000"/>
                <w:kern w:val="0"/>
                <w:sz w:val="18"/>
                <w:szCs w:val="18"/>
              </w:rPr>
              <w:t>10%</w:t>
            </w:r>
            <w:r>
              <w:rPr>
                <w:rFonts w:hint="eastAsia" w:ascii="宋体" w:hAnsi="??_GB2312" w:cs="宋体"/>
                <w:color w:val="000000"/>
                <w:kern w:val="0"/>
                <w:sz w:val="18"/>
                <w:szCs w:val="18"/>
                <w:lang w:val="zh-CN"/>
              </w:rPr>
              <w:t>，延迟超过</w:t>
            </w:r>
            <w:r>
              <w:rPr>
                <w:rFonts w:ascii="??_GB2312" w:hAnsi="??_GB2312" w:cs="??_GB2312"/>
                <w:color w:val="000000"/>
                <w:kern w:val="0"/>
                <w:sz w:val="18"/>
                <w:szCs w:val="18"/>
              </w:rPr>
              <w:t>40%</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9</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月份</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实施方案</w:t>
            </w:r>
          </w:p>
        </w:tc>
      </w:tr>
      <w:tr>
        <w:tblPrEx>
          <w:tblCellMar>
            <w:top w:w="0" w:type="dxa"/>
            <w:left w:w="14" w:type="dxa"/>
            <w:bottom w:w="0" w:type="dxa"/>
            <w:right w:w="14" w:type="dxa"/>
          </w:tblCellMar>
        </w:tblPrEx>
        <w:trPr>
          <w:trHeight w:val="765"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发放及时性</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实际劳务发放时间的及时情况</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达成目标得满分，未完成（实际完成量</w:t>
            </w:r>
            <w:r>
              <w:rPr>
                <w:rFonts w:ascii="??_GB2312" w:hAnsi="??_GB2312" w:cs="??_GB2312"/>
                <w:color w:val="000000"/>
                <w:kern w:val="0"/>
                <w:sz w:val="18"/>
                <w:szCs w:val="18"/>
              </w:rPr>
              <w:t>/</w:t>
            </w:r>
            <w:r>
              <w:rPr>
                <w:rFonts w:hint="eastAsia" w:ascii="宋体" w:hAnsi="??_GB2312" w:cs="宋体"/>
                <w:color w:val="000000"/>
                <w:kern w:val="0"/>
                <w:sz w:val="18"/>
                <w:szCs w:val="18"/>
                <w:lang w:val="zh-CN"/>
              </w:rPr>
              <w:t>计划完成量）</w:t>
            </w:r>
            <w:r>
              <w:rPr>
                <w:rFonts w:ascii="??_GB2312" w:hAnsi="??_GB2312" w:cs="??_GB2312"/>
                <w:color w:val="000000"/>
                <w:kern w:val="0"/>
                <w:sz w:val="18"/>
                <w:szCs w:val="18"/>
              </w:rPr>
              <w:t>*100%</w:t>
            </w:r>
            <w:r>
              <w:rPr>
                <w:rFonts w:hint="eastAsia" w:ascii="宋体" w:hAnsi="??_GB2312" w:cs="宋体"/>
                <w:color w:val="000000"/>
                <w:kern w:val="0"/>
                <w:sz w:val="18"/>
                <w:szCs w:val="18"/>
                <w:lang w:val="zh-CN"/>
              </w:rPr>
              <w:t>。</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100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实施方案</w:t>
            </w:r>
          </w:p>
        </w:tc>
      </w:tr>
      <w:tr>
        <w:tblPrEx>
          <w:tblCellMar>
            <w:top w:w="0" w:type="dxa"/>
            <w:left w:w="14" w:type="dxa"/>
            <w:bottom w:w="0" w:type="dxa"/>
            <w:right w:w="14" w:type="dxa"/>
          </w:tblCellMar>
        </w:tblPrEx>
        <w:trPr>
          <w:trHeight w:val="765"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完成及时性</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按照工作部署及重要节日节点开展各项活动完成及时性情况</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未达到完成时限，每延期一天减时效分值</w:t>
            </w:r>
            <w:r>
              <w:rPr>
                <w:rFonts w:ascii="??_GB2312" w:hAnsi="??_GB2312" w:cs="??_GB2312"/>
                <w:color w:val="000000"/>
                <w:kern w:val="0"/>
                <w:sz w:val="18"/>
                <w:szCs w:val="18"/>
              </w:rPr>
              <w:t>1%</w:t>
            </w:r>
            <w:r>
              <w:rPr>
                <w:rFonts w:hint="eastAsia" w:ascii="宋体" w:hAnsi="??_GB2312" w:cs="宋体"/>
                <w:color w:val="000000"/>
                <w:kern w:val="0"/>
                <w:sz w:val="18"/>
                <w:szCs w:val="18"/>
                <w:lang w:val="zh-CN"/>
              </w:rPr>
              <w:t>，延期超过</w:t>
            </w:r>
            <w:r>
              <w:rPr>
                <w:rFonts w:ascii="??_GB2312" w:hAnsi="??_GB2312" w:cs="??_GB2312"/>
                <w:color w:val="000000"/>
                <w:kern w:val="0"/>
                <w:sz w:val="18"/>
                <w:szCs w:val="18"/>
              </w:rPr>
              <w:t>50%</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100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实施方案</w:t>
            </w:r>
          </w:p>
        </w:tc>
      </w:tr>
      <w:tr>
        <w:tblPrEx>
          <w:tblCellMar>
            <w:top w:w="0" w:type="dxa"/>
            <w:left w:w="14" w:type="dxa"/>
            <w:bottom w:w="0" w:type="dxa"/>
            <w:right w:w="14" w:type="dxa"/>
          </w:tblCellMar>
        </w:tblPrEx>
        <w:trPr>
          <w:trHeight w:val="825"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restart"/>
            <w:tcBorders>
              <w:top w:val="single" w:color="000000" w:sz="2" w:space="0"/>
              <w:left w:val="single" w:color="000000" w:sz="2" w:space="0"/>
              <w:bottom w:val="nil"/>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22"/>
                <w:lang w:val="zh-CN"/>
              </w:rPr>
              <w:t>成本</w:t>
            </w: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社区补贴平均成本</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每个社区完成社区服务的费用</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成本每偏离指标值</w:t>
            </w:r>
            <w:r>
              <w:rPr>
                <w:rFonts w:ascii="??_GB2312" w:hAnsi="??_GB2312" w:cs="??_GB2312"/>
                <w:color w:val="000000"/>
                <w:kern w:val="0"/>
                <w:sz w:val="18"/>
                <w:szCs w:val="18"/>
              </w:rPr>
              <w:t>1%</w:t>
            </w:r>
            <w:r>
              <w:rPr>
                <w:rFonts w:hint="eastAsia" w:ascii="宋体" w:hAnsi="??_GB2312" w:cs="宋体"/>
                <w:color w:val="000000"/>
                <w:kern w:val="0"/>
                <w:sz w:val="18"/>
                <w:szCs w:val="18"/>
                <w:lang w:val="zh-CN"/>
              </w:rPr>
              <w:t>，减成本分值</w:t>
            </w:r>
            <w:r>
              <w:rPr>
                <w:rFonts w:ascii="??_GB2312" w:hAnsi="??_GB2312" w:cs="??_GB2312"/>
                <w:color w:val="000000"/>
                <w:kern w:val="0"/>
                <w:sz w:val="18"/>
                <w:szCs w:val="18"/>
              </w:rPr>
              <w:t>10%</w:t>
            </w:r>
            <w:r>
              <w:rPr>
                <w:rFonts w:hint="eastAsia" w:ascii="宋体" w:hAnsi="??_GB2312" w:cs="宋体"/>
                <w:color w:val="000000"/>
                <w:kern w:val="0"/>
                <w:sz w:val="18"/>
                <w:szCs w:val="18"/>
                <w:lang w:val="zh-CN"/>
              </w:rPr>
              <w:t>，偏离超过</w:t>
            </w:r>
            <w:r>
              <w:rPr>
                <w:rFonts w:ascii="??_GB2312" w:hAnsi="??_GB2312" w:cs="??_GB2312"/>
                <w:color w:val="000000"/>
                <w:kern w:val="0"/>
                <w:sz w:val="18"/>
                <w:szCs w:val="18"/>
              </w:rPr>
              <w:t>10%</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200000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元</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预算编制</w:t>
            </w:r>
          </w:p>
        </w:tc>
      </w:tr>
      <w:tr>
        <w:tblPrEx>
          <w:tblCellMar>
            <w:top w:w="0" w:type="dxa"/>
            <w:left w:w="14" w:type="dxa"/>
            <w:bottom w:w="0" w:type="dxa"/>
            <w:right w:w="14" w:type="dxa"/>
          </w:tblCellMar>
        </w:tblPrEx>
        <w:trPr>
          <w:trHeight w:val="4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nil"/>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成本控制率</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改造社区各项成本的控制情况</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成本每偏离指标值</w:t>
            </w:r>
            <w:r>
              <w:rPr>
                <w:rFonts w:ascii="??_GB2312" w:hAnsi="??_GB2312" w:cs="??_GB2312"/>
                <w:color w:val="000000"/>
                <w:kern w:val="0"/>
                <w:sz w:val="18"/>
                <w:szCs w:val="18"/>
              </w:rPr>
              <w:t>1%</w:t>
            </w:r>
            <w:r>
              <w:rPr>
                <w:rFonts w:hint="eastAsia" w:ascii="宋体" w:hAnsi="??_GB2312" w:cs="宋体"/>
                <w:color w:val="000000"/>
                <w:kern w:val="0"/>
                <w:sz w:val="18"/>
                <w:szCs w:val="18"/>
                <w:lang w:val="zh-CN"/>
              </w:rPr>
              <w:t>，减成本分值</w:t>
            </w:r>
            <w:r>
              <w:rPr>
                <w:rFonts w:ascii="??_GB2312" w:hAnsi="??_GB2312" w:cs="??_GB2312"/>
                <w:color w:val="000000"/>
                <w:kern w:val="0"/>
                <w:sz w:val="18"/>
                <w:szCs w:val="18"/>
              </w:rPr>
              <w:t>10%</w:t>
            </w:r>
            <w:r>
              <w:rPr>
                <w:rFonts w:hint="eastAsia" w:ascii="宋体" w:hAnsi="??_GB2312" w:cs="宋体"/>
                <w:color w:val="000000"/>
                <w:kern w:val="0"/>
                <w:sz w:val="18"/>
                <w:szCs w:val="18"/>
                <w:lang w:val="zh-CN"/>
              </w:rPr>
              <w:t>，偏离超过</w:t>
            </w:r>
            <w:r>
              <w:rPr>
                <w:rFonts w:ascii="??_GB2312" w:hAnsi="??_GB2312" w:cs="??_GB2312"/>
                <w:color w:val="000000"/>
                <w:kern w:val="0"/>
                <w:sz w:val="18"/>
                <w:szCs w:val="18"/>
              </w:rPr>
              <w:t>10%</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100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预算编制</w:t>
            </w:r>
          </w:p>
        </w:tc>
      </w:tr>
      <w:tr>
        <w:tblPrEx>
          <w:tblCellMar>
            <w:top w:w="0" w:type="dxa"/>
            <w:left w:w="14" w:type="dxa"/>
            <w:bottom w:w="0" w:type="dxa"/>
            <w:right w:w="14" w:type="dxa"/>
          </w:tblCellMar>
        </w:tblPrEx>
        <w:trPr>
          <w:trHeight w:val="4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nil"/>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人均标准</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按照</w:t>
            </w:r>
            <w:r>
              <w:rPr>
                <w:rFonts w:ascii="??_GB2312" w:hAnsi="??_GB2312" w:cs="??_GB2312"/>
                <w:color w:val="000000"/>
                <w:kern w:val="0"/>
                <w:sz w:val="18"/>
                <w:szCs w:val="18"/>
              </w:rPr>
              <w:t>100</w:t>
            </w:r>
            <w:r>
              <w:rPr>
                <w:rFonts w:hint="eastAsia" w:ascii="宋体" w:hAnsi="??_GB2312" w:cs="宋体"/>
                <w:color w:val="000000"/>
                <w:kern w:val="0"/>
                <w:sz w:val="18"/>
                <w:szCs w:val="18"/>
                <w:lang w:val="zh-CN"/>
              </w:rPr>
              <w:t>元</w:t>
            </w:r>
            <w:r>
              <w:rPr>
                <w:rFonts w:ascii="??_GB2312" w:hAnsi="??_GB2312" w:cs="??_GB2312"/>
                <w:color w:val="000000"/>
                <w:kern w:val="0"/>
                <w:sz w:val="18"/>
                <w:szCs w:val="18"/>
              </w:rPr>
              <w:t>/</w:t>
            </w:r>
            <w:r>
              <w:rPr>
                <w:rFonts w:hint="eastAsia" w:ascii="宋体" w:hAnsi="??_GB2312" w:cs="宋体"/>
                <w:color w:val="000000"/>
                <w:kern w:val="0"/>
                <w:sz w:val="18"/>
                <w:szCs w:val="18"/>
                <w:lang w:val="zh-CN"/>
              </w:rPr>
              <w:t>人</w:t>
            </w:r>
            <w:r>
              <w:rPr>
                <w:rFonts w:ascii="??_GB2312" w:hAnsi="??_GB2312" w:cs="??_GB2312"/>
                <w:color w:val="000000"/>
                <w:kern w:val="0"/>
                <w:sz w:val="18"/>
                <w:szCs w:val="18"/>
              </w:rPr>
              <w:t>/</w:t>
            </w:r>
            <w:r>
              <w:rPr>
                <w:rFonts w:hint="eastAsia" w:ascii="宋体" w:hAnsi="??_GB2312" w:cs="宋体"/>
                <w:color w:val="000000"/>
                <w:kern w:val="0"/>
                <w:sz w:val="18"/>
                <w:szCs w:val="18"/>
                <w:lang w:val="zh-CN"/>
              </w:rPr>
              <w:t>月的标准</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成本每偏离指标值</w:t>
            </w:r>
            <w:r>
              <w:rPr>
                <w:rFonts w:ascii="??_GB2312" w:hAnsi="??_GB2312" w:cs="??_GB2312"/>
                <w:color w:val="000000"/>
                <w:kern w:val="0"/>
                <w:sz w:val="18"/>
                <w:szCs w:val="18"/>
              </w:rPr>
              <w:t>1%</w:t>
            </w:r>
            <w:r>
              <w:rPr>
                <w:rFonts w:hint="eastAsia" w:ascii="宋体" w:hAnsi="??_GB2312" w:cs="宋体"/>
                <w:color w:val="000000"/>
                <w:kern w:val="0"/>
                <w:sz w:val="18"/>
                <w:szCs w:val="18"/>
                <w:lang w:val="zh-CN"/>
              </w:rPr>
              <w:t>，减成本分值</w:t>
            </w:r>
            <w:r>
              <w:rPr>
                <w:rFonts w:ascii="??_GB2312" w:hAnsi="??_GB2312" w:cs="??_GB2312"/>
                <w:color w:val="000000"/>
                <w:kern w:val="0"/>
                <w:sz w:val="18"/>
                <w:szCs w:val="18"/>
              </w:rPr>
              <w:t>10%</w:t>
            </w:r>
            <w:r>
              <w:rPr>
                <w:rFonts w:hint="eastAsia" w:ascii="宋体" w:hAnsi="??_GB2312" w:cs="宋体"/>
                <w:color w:val="000000"/>
                <w:kern w:val="0"/>
                <w:sz w:val="18"/>
                <w:szCs w:val="18"/>
                <w:lang w:val="zh-CN"/>
              </w:rPr>
              <w:t>，偏离超过</w:t>
            </w:r>
            <w:r>
              <w:rPr>
                <w:rFonts w:ascii="??_GB2312" w:hAnsi="??_GB2312" w:cs="??_GB2312"/>
                <w:color w:val="000000"/>
                <w:kern w:val="0"/>
                <w:sz w:val="18"/>
                <w:szCs w:val="18"/>
              </w:rPr>
              <w:t>10%</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100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元</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相关文件</w:t>
            </w:r>
          </w:p>
        </w:tc>
      </w:tr>
      <w:tr>
        <w:tblPrEx>
          <w:tblCellMar>
            <w:top w:w="0" w:type="dxa"/>
            <w:left w:w="14" w:type="dxa"/>
            <w:bottom w:w="0" w:type="dxa"/>
            <w:right w:w="14" w:type="dxa"/>
          </w:tblCellMar>
        </w:tblPrEx>
        <w:trPr>
          <w:trHeight w:val="4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nil"/>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活动成本</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平均开展每次活动所需费用</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成本每偏离指标值</w:t>
            </w:r>
            <w:r>
              <w:rPr>
                <w:rFonts w:ascii="??_GB2312" w:hAnsi="??_GB2312" w:cs="??_GB2312"/>
                <w:color w:val="000000"/>
                <w:kern w:val="0"/>
                <w:sz w:val="18"/>
                <w:szCs w:val="18"/>
              </w:rPr>
              <w:t>1%</w:t>
            </w:r>
            <w:r>
              <w:rPr>
                <w:rFonts w:hint="eastAsia" w:ascii="宋体" w:hAnsi="??_GB2312" w:cs="宋体"/>
                <w:color w:val="000000"/>
                <w:kern w:val="0"/>
                <w:sz w:val="18"/>
                <w:szCs w:val="18"/>
                <w:lang w:val="zh-CN"/>
              </w:rPr>
              <w:t>，减成本分值</w:t>
            </w:r>
            <w:r>
              <w:rPr>
                <w:rFonts w:ascii="??_GB2312" w:hAnsi="??_GB2312" w:cs="??_GB2312"/>
                <w:color w:val="000000"/>
                <w:kern w:val="0"/>
                <w:sz w:val="18"/>
                <w:szCs w:val="18"/>
              </w:rPr>
              <w:t>10%</w:t>
            </w:r>
            <w:r>
              <w:rPr>
                <w:rFonts w:hint="eastAsia" w:ascii="宋体" w:hAnsi="??_GB2312" w:cs="宋体"/>
                <w:color w:val="000000"/>
                <w:kern w:val="0"/>
                <w:sz w:val="18"/>
                <w:szCs w:val="18"/>
                <w:lang w:val="zh-CN"/>
              </w:rPr>
              <w:t>，偏离超过</w:t>
            </w:r>
            <w:r>
              <w:rPr>
                <w:rFonts w:ascii="??_GB2312" w:hAnsi="??_GB2312" w:cs="??_GB2312"/>
                <w:color w:val="000000"/>
                <w:kern w:val="0"/>
                <w:sz w:val="18"/>
                <w:szCs w:val="18"/>
              </w:rPr>
              <w:t>10%</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0.08</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万元</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预算编制</w:t>
            </w:r>
          </w:p>
        </w:tc>
      </w:tr>
      <w:tr>
        <w:tblPrEx>
          <w:tblCellMar>
            <w:top w:w="0" w:type="dxa"/>
            <w:left w:w="14" w:type="dxa"/>
            <w:bottom w:w="0" w:type="dxa"/>
            <w:right w:w="14" w:type="dxa"/>
          </w:tblCellMar>
        </w:tblPrEx>
        <w:trPr>
          <w:trHeight w:val="45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nil"/>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每日成本控制率</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每日补贴实际支出数符合相关规定的比率</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成本每偏离指标值</w:t>
            </w:r>
            <w:r>
              <w:rPr>
                <w:rFonts w:ascii="??_GB2312" w:hAnsi="??_GB2312" w:cs="??_GB2312"/>
                <w:color w:val="000000"/>
                <w:kern w:val="0"/>
                <w:sz w:val="18"/>
                <w:szCs w:val="18"/>
              </w:rPr>
              <w:t>1%</w:t>
            </w:r>
            <w:r>
              <w:rPr>
                <w:rFonts w:hint="eastAsia" w:ascii="宋体" w:hAnsi="??_GB2312" w:cs="宋体"/>
                <w:color w:val="000000"/>
                <w:kern w:val="0"/>
                <w:sz w:val="18"/>
                <w:szCs w:val="18"/>
                <w:lang w:val="zh-CN"/>
              </w:rPr>
              <w:t>，减成本分值</w:t>
            </w:r>
            <w:r>
              <w:rPr>
                <w:rFonts w:ascii="??_GB2312" w:hAnsi="??_GB2312" w:cs="??_GB2312"/>
                <w:color w:val="000000"/>
                <w:kern w:val="0"/>
                <w:sz w:val="18"/>
                <w:szCs w:val="18"/>
              </w:rPr>
              <w:t>10%</w:t>
            </w:r>
            <w:r>
              <w:rPr>
                <w:rFonts w:hint="eastAsia" w:ascii="宋体" w:hAnsi="??_GB2312" w:cs="宋体"/>
                <w:color w:val="000000"/>
                <w:kern w:val="0"/>
                <w:sz w:val="18"/>
                <w:szCs w:val="18"/>
                <w:lang w:val="zh-CN"/>
              </w:rPr>
              <w:t>，偏离超过</w:t>
            </w:r>
            <w:r>
              <w:rPr>
                <w:rFonts w:ascii="??_GB2312" w:hAnsi="??_GB2312" w:cs="??_GB2312"/>
                <w:color w:val="000000"/>
                <w:kern w:val="0"/>
                <w:sz w:val="18"/>
                <w:szCs w:val="18"/>
              </w:rPr>
              <w:t>10%</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100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预算编制</w:t>
            </w:r>
          </w:p>
        </w:tc>
      </w:tr>
      <w:tr>
        <w:tblPrEx>
          <w:tblCellMar>
            <w:top w:w="0" w:type="dxa"/>
            <w:left w:w="14" w:type="dxa"/>
            <w:bottom w:w="0" w:type="dxa"/>
            <w:right w:w="14" w:type="dxa"/>
          </w:tblCellMar>
        </w:tblPrEx>
        <w:trPr>
          <w:trHeight w:val="705" w:hRule="atLeast"/>
          <w:jc w:val="center"/>
        </w:trPr>
        <w:tc>
          <w:tcPr>
            <w:tcW w:w="307"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22"/>
                <w:lang w:val="zh-CN"/>
              </w:rPr>
              <w:t>部门</w:t>
            </w:r>
            <w:r>
              <w:rPr>
                <w:rFonts w:ascii="宋体" w:hAnsi="??_GB2312" w:cs="宋体"/>
                <w:color w:val="000000"/>
                <w:kern w:val="0"/>
                <w:sz w:val="22"/>
                <w:lang w:val="zh-CN"/>
              </w:rPr>
              <w:br w:type="textWrapping"/>
            </w:r>
            <w:r>
              <w:rPr>
                <w:rFonts w:hint="eastAsia" w:ascii="宋体" w:hAnsi="??_GB2312" w:cs="宋体"/>
                <w:color w:val="000000"/>
                <w:kern w:val="0"/>
                <w:sz w:val="22"/>
                <w:lang w:val="zh-CN"/>
              </w:rPr>
              <w:t>效果</w:t>
            </w:r>
          </w:p>
        </w:tc>
        <w:tc>
          <w:tcPr>
            <w:tcW w:w="381" w:type="dxa"/>
            <w:vMerge w:val="restart"/>
            <w:tcBorders>
              <w:top w:val="single" w:color="000000" w:sz="2" w:space="0"/>
              <w:left w:val="single" w:color="000000" w:sz="2" w:space="0"/>
              <w:bottom w:val="nil"/>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22"/>
                <w:lang w:val="zh-CN"/>
              </w:rPr>
              <w:t>社会</w:t>
            </w:r>
            <w:r>
              <w:rPr>
                <w:rFonts w:ascii="宋体" w:hAnsi="??_GB2312" w:cs="宋体"/>
                <w:color w:val="000000"/>
                <w:kern w:val="0"/>
                <w:sz w:val="22"/>
                <w:lang w:val="zh-CN"/>
              </w:rPr>
              <w:br w:type="textWrapping"/>
            </w:r>
            <w:r>
              <w:rPr>
                <w:rFonts w:hint="eastAsia" w:ascii="宋体" w:hAnsi="??_GB2312" w:cs="宋体"/>
                <w:color w:val="000000"/>
                <w:kern w:val="0"/>
                <w:sz w:val="22"/>
                <w:lang w:val="zh-CN"/>
              </w:rPr>
              <w:t>效益</w:t>
            </w: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群众问题处理率</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解决群众反映问题与全部群众反映问题数的比例</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提升的效果显著得满分、效果一般得</w:t>
            </w:r>
            <w:r>
              <w:rPr>
                <w:rFonts w:ascii="??_GB2312" w:hAnsi="??_GB2312" w:cs="??_GB2312"/>
                <w:color w:val="000000"/>
                <w:kern w:val="0"/>
                <w:sz w:val="18"/>
                <w:szCs w:val="18"/>
              </w:rPr>
              <w:t>50%</w:t>
            </w:r>
            <w:r>
              <w:rPr>
                <w:rFonts w:hint="eastAsia" w:ascii="宋体" w:hAnsi="??_GB2312" w:cs="宋体"/>
                <w:color w:val="000000"/>
                <w:kern w:val="0"/>
                <w:sz w:val="18"/>
                <w:szCs w:val="18"/>
                <w:lang w:val="zh-CN"/>
              </w:rPr>
              <w:t>，效果不显著不得分。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90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社区台账</w:t>
            </w:r>
          </w:p>
        </w:tc>
      </w:tr>
      <w:tr>
        <w:tblPrEx>
          <w:tblCellMar>
            <w:top w:w="0" w:type="dxa"/>
            <w:left w:w="14" w:type="dxa"/>
            <w:bottom w:w="0" w:type="dxa"/>
            <w:right w:w="14" w:type="dxa"/>
          </w:tblCellMar>
        </w:tblPrEx>
        <w:trPr>
          <w:trHeight w:val="78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nil"/>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平房小区基础设施完好率</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反映新旧小区环境差距的缩小，切实改善基础设施完好率情况。</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达成目标得全重分的</w:t>
            </w:r>
            <w:r>
              <w:rPr>
                <w:rFonts w:ascii="??_GB2312" w:hAnsi="??_GB2312" w:cs="??_GB2312"/>
                <w:color w:val="000000"/>
                <w:kern w:val="0"/>
                <w:sz w:val="18"/>
                <w:szCs w:val="18"/>
              </w:rPr>
              <w:t>100%</w:t>
            </w:r>
            <w:r>
              <w:rPr>
                <w:rFonts w:hint="eastAsia" w:ascii="宋体" w:hAnsi="??_GB2312" w:cs="宋体"/>
                <w:color w:val="000000"/>
                <w:kern w:val="0"/>
                <w:sz w:val="18"/>
                <w:szCs w:val="18"/>
                <w:lang w:val="zh-CN"/>
              </w:rPr>
              <w:t>，未完成（实际完成量</w:t>
            </w:r>
            <w:r>
              <w:rPr>
                <w:rFonts w:ascii="??_GB2312" w:hAnsi="??_GB2312" w:cs="??_GB2312"/>
                <w:color w:val="000000"/>
                <w:kern w:val="0"/>
                <w:sz w:val="18"/>
                <w:szCs w:val="18"/>
              </w:rPr>
              <w:t>/</w:t>
            </w:r>
            <w:r>
              <w:rPr>
                <w:rFonts w:hint="eastAsia" w:ascii="宋体" w:hAnsi="??_GB2312" w:cs="宋体"/>
                <w:color w:val="000000"/>
                <w:kern w:val="0"/>
                <w:sz w:val="18"/>
                <w:szCs w:val="18"/>
                <w:lang w:val="zh-CN"/>
              </w:rPr>
              <w:t>计划完成量）</w:t>
            </w:r>
            <w:r>
              <w:rPr>
                <w:rFonts w:ascii="??_GB2312" w:hAnsi="??_GB2312" w:cs="??_GB2312"/>
                <w:color w:val="000000"/>
                <w:kern w:val="0"/>
                <w:sz w:val="18"/>
                <w:szCs w:val="18"/>
              </w:rPr>
              <w:t>*100%</w:t>
            </w:r>
            <w:r>
              <w:rPr>
                <w:rFonts w:hint="eastAsia" w:ascii="宋体" w:hAnsi="??_GB2312" w:cs="宋体"/>
                <w:color w:val="000000"/>
                <w:kern w:val="0"/>
                <w:sz w:val="18"/>
                <w:szCs w:val="18"/>
                <w:lang w:val="zh-CN"/>
              </w:rPr>
              <w:t>。</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90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实施方案</w:t>
            </w:r>
          </w:p>
        </w:tc>
      </w:tr>
      <w:tr>
        <w:tblPrEx>
          <w:tblCellMar>
            <w:top w:w="0" w:type="dxa"/>
            <w:left w:w="14" w:type="dxa"/>
            <w:bottom w:w="0" w:type="dxa"/>
            <w:right w:w="14" w:type="dxa"/>
          </w:tblCellMar>
        </w:tblPrEx>
        <w:trPr>
          <w:trHeight w:val="57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nil"/>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小区居民出现纠纷问题的比率</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小区居民出现纠纷问题的比率</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每上升</w:t>
            </w:r>
            <w:r>
              <w:rPr>
                <w:rFonts w:ascii="??_GB2312" w:hAnsi="??_GB2312" w:cs="??_GB2312"/>
                <w:color w:val="000000"/>
                <w:kern w:val="0"/>
                <w:sz w:val="18"/>
                <w:szCs w:val="18"/>
              </w:rPr>
              <w:t>5%</w:t>
            </w:r>
            <w:r>
              <w:rPr>
                <w:rFonts w:hint="eastAsia" w:ascii="宋体" w:hAnsi="??_GB2312" w:cs="宋体"/>
                <w:color w:val="000000"/>
                <w:kern w:val="0"/>
                <w:sz w:val="18"/>
                <w:szCs w:val="18"/>
                <w:lang w:val="zh-CN"/>
              </w:rPr>
              <w:t>，减质量分值</w:t>
            </w:r>
            <w:r>
              <w:rPr>
                <w:rFonts w:ascii="??_GB2312" w:hAnsi="??_GB2312" w:cs="??_GB2312"/>
                <w:color w:val="000000"/>
                <w:kern w:val="0"/>
                <w:sz w:val="18"/>
                <w:szCs w:val="18"/>
              </w:rPr>
              <w:t>5%</w:t>
            </w:r>
            <w:r>
              <w:rPr>
                <w:rFonts w:hint="eastAsia" w:ascii="宋体" w:hAnsi="??_GB2312" w:cs="宋体"/>
                <w:color w:val="000000"/>
                <w:kern w:val="0"/>
                <w:sz w:val="18"/>
                <w:szCs w:val="18"/>
                <w:lang w:val="zh-CN"/>
              </w:rPr>
              <w:t>，纠纷率高于</w:t>
            </w:r>
            <w:r>
              <w:rPr>
                <w:rFonts w:ascii="??_GB2312" w:hAnsi="??_GB2312" w:cs="??_GB2312"/>
                <w:color w:val="000000"/>
                <w:kern w:val="0"/>
                <w:sz w:val="18"/>
                <w:szCs w:val="18"/>
              </w:rPr>
              <w:t>40%</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20"/>
                <w:szCs w:val="20"/>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10</w:t>
            </w:r>
          </w:p>
        </w:tc>
        <w:tc>
          <w:tcPr>
            <w:tcW w:w="42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20"/>
                <w:szCs w:val="20"/>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hint="eastAsia" w:ascii="宋体" w:hAnsi="??_GB2312" w:eastAsia="宋体" w:cs="宋体"/>
                <w:kern w:val="0"/>
                <w:sz w:val="22"/>
                <w:lang w:val="en-US" w:eastAsia="zh-CN"/>
              </w:rPr>
            </w:pPr>
            <w:r>
              <w:rPr>
                <w:rFonts w:hint="eastAsia" w:ascii="宋体" w:hAnsi="??_GB2312" w:cs="宋体"/>
                <w:color w:val="000000"/>
                <w:kern w:val="0"/>
                <w:sz w:val="18"/>
                <w:szCs w:val="18"/>
                <w:lang w:val="zh-CN"/>
              </w:rPr>
              <w:t>工作</w:t>
            </w:r>
            <w:r>
              <w:rPr>
                <w:rFonts w:hint="eastAsia" w:ascii="宋体" w:hAnsi="??_GB2312" w:cs="宋体"/>
                <w:color w:val="000000"/>
                <w:kern w:val="0"/>
                <w:sz w:val="18"/>
                <w:szCs w:val="18"/>
                <w:lang w:val="en-US" w:eastAsia="zh-CN"/>
              </w:rPr>
              <w:t>台账</w:t>
            </w:r>
            <w:bookmarkStart w:id="2" w:name="_GoBack"/>
            <w:bookmarkEnd w:id="2"/>
          </w:p>
        </w:tc>
      </w:tr>
      <w:tr>
        <w:tblPrEx>
          <w:tblCellMar>
            <w:top w:w="0" w:type="dxa"/>
            <w:left w:w="14" w:type="dxa"/>
            <w:bottom w:w="0" w:type="dxa"/>
            <w:right w:w="14" w:type="dxa"/>
          </w:tblCellMar>
        </w:tblPrEx>
        <w:trPr>
          <w:trHeight w:val="57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nil"/>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保障宣传效果</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新时代文明实践所活动开展效果</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提升的效果显著得满分、效果一般得</w:t>
            </w:r>
            <w:r>
              <w:rPr>
                <w:rFonts w:ascii="??_GB2312" w:hAnsi="??_GB2312" w:cs="??_GB2312"/>
                <w:color w:val="000000"/>
                <w:kern w:val="0"/>
                <w:sz w:val="18"/>
                <w:szCs w:val="18"/>
              </w:rPr>
              <w:t>50%</w:t>
            </w:r>
            <w:r>
              <w:rPr>
                <w:rFonts w:hint="eastAsia" w:ascii="宋体" w:hAnsi="??_GB2312" w:cs="宋体"/>
                <w:color w:val="000000"/>
                <w:kern w:val="0"/>
                <w:sz w:val="18"/>
                <w:szCs w:val="18"/>
                <w:lang w:val="zh-CN"/>
              </w:rPr>
              <w:t>，效果不显著不得分。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20"/>
                <w:szCs w:val="20"/>
                <w:lang w:val="zh-CN"/>
              </w:rPr>
              <w:t>有效保障</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实施方案</w:t>
            </w:r>
          </w:p>
        </w:tc>
      </w:tr>
      <w:tr>
        <w:tblPrEx>
          <w:tblCellMar>
            <w:top w:w="0" w:type="dxa"/>
            <w:left w:w="14" w:type="dxa"/>
            <w:bottom w:w="0" w:type="dxa"/>
            <w:right w:w="14" w:type="dxa"/>
          </w:tblCellMar>
        </w:tblPrEx>
        <w:trPr>
          <w:trHeight w:val="57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nil"/>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重大活动突发事件发生率</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发生突发事件的重大活动数量占全部重大活动的比率（反向指标）</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达成目标得全重分的</w:t>
            </w:r>
            <w:r>
              <w:rPr>
                <w:rFonts w:ascii="??_GB2312" w:hAnsi="??_GB2312" w:cs="??_GB2312"/>
                <w:color w:val="000000"/>
                <w:kern w:val="0"/>
                <w:sz w:val="18"/>
                <w:szCs w:val="18"/>
              </w:rPr>
              <w:t>100%</w:t>
            </w:r>
            <w:r>
              <w:rPr>
                <w:rFonts w:hint="eastAsia" w:ascii="宋体" w:hAnsi="??_GB2312" w:cs="宋体"/>
                <w:color w:val="000000"/>
                <w:kern w:val="0"/>
                <w:sz w:val="18"/>
                <w:szCs w:val="18"/>
                <w:lang w:val="zh-CN"/>
              </w:rPr>
              <w:t>，未完成（实际完成量</w:t>
            </w:r>
            <w:r>
              <w:rPr>
                <w:rFonts w:ascii="??_GB2312" w:hAnsi="??_GB2312" w:cs="??_GB2312"/>
                <w:color w:val="000000"/>
                <w:kern w:val="0"/>
                <w:sz w:val="18"/>
                <w:szCs w:val="18"/>
              </w:rPr>
              <w:t>/</w:t>
            </w:r>
            <w:r>
              <w:rPr>
                <w:rFonts w:hint="eastAsia" w:ascii="宋体" w:hAnsi="??_GB2312" w:cs="宋体"/>
                <w:color w:val="000000"/>
                <w:kern w:val="0"/>
                <w:sz w:val="18"/>
                <w:szCs w:val="18"/>
                <w:lang w:val="zh-CN"/>
              </w:rPr>
              <w:t>计划完成量）</w:t>
            </w:r>
            <w:r>
              <w:rPr>
                <w:rFonts w:ascii="??_GB2312" w:hAnsi="??_GB2312" w:cs="??_GB2312"/>
                <w:color w:val="000000"/>
                <w:kern w:val="0"/>
                <w:sz w:val="18"/>
                <w:szCs w:val="18"/>
              </w:rPr>
              <w:t>*100%</w:t>
            </w:r>
            <w:r>
              <w:rPr>
                <w:rFonts w:hint="eastAsia" w:ascii="宋体" w:hAnsi="??_GB2312" w:cs="宋体"/>
                <w:color w:val="000000"/>
                <w:kern w:val="0"/>
                <w:sz w:val="18"/>
                <w:szCs w:val="18"/>
                <w:lang w:val="zh-CN"/>
              </w:rPr>
              <w:t>。</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 xml:space="preserve"> =</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0</w:t>
            </w:r>
          </w:p>
        </w:tc>
        <w:tc>
          <w:tcPr>
            <w:tcW w:w="426"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20"/>
                <w:szCs w:val="20"/>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实施方案</w:t>
            </w:r>
          </w:p>
        </w:tc>
      </w:tr>
      <w:tr>
        <w:tblPrEx>
          <w:tblCellMar>
            <w:top w:w="0" w:type="dxa"/>
            <w:left w:w="14" w:type="dxa"/>
            <w:bottom w:w="0" w:type="dxa"/>
            <w:right w:w="14" w:type="dxa"/>
          </w:tblCellMar>
        </w:tblPrEx>
        <w:trPr>
          <w:trHeight w:val="495"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restar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22"/>
                <w:lang w:val="zh-CN"/>
              </w:rPr>
              <w:t>满意度</w:t>
            </w: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居民满意度</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群众调查中，满意和较满意的人数占全部调查人数的比率</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满意度不低于</w:t>
            </w:r>
            <w:r>
              <w:rPr>
                <w:rFonts w:ascii="??_GB2312" w:hAnsi="??_GB2312" w:cs="??_GB2312"/>
                <w:color w:val="000000"/>
                <w:kern w:val="0"/>
                <w:sz w:val="18"/>
                <w:szCs w:val="18"/>
              </w:rPr>
              <w:t>90%</w:t>
            </w:r>
            <w:r>
              <w:rPr>
                <w:rFonts w:hint="eastAsia" w:ascii="宋体" w:hAnsi="??_GB2312" w:cs="宋体"/>
                <w:color w:val="000000"/>
                <w:kern w:val="0"/>
                <w:sz w:val="18"/>
                <w:szCs w:val="18"/>
                <w:lang w:val="zh-CN"/>
              </w:rPr>
              <w:t>得满分，每降低</w:t>
            </w:r>
            <w:r>
              <w:rPr>
                <w:rFonts w:ascii="??_GB2312" w:hAnsi="??_GB2312" w:cs="??_GB2312"/>
                <w:color w:val="000000"/>
                <w:kern w:val="0"/>
                <w:sz w:val="18"/>
                <w:szCs w:val="18"/>
              </w:rPr>
              <w:t>1%</w:t>
            </w:r>
            <w:r>
              <w:rPr>
                <w:rFonts w:hint="eastAsia" w:ascii="宋体" w:hAnsi="??_GB2312" w:cs="宋体"/>
                <w:color w:val="000000"/>
                <w:kern w:val="0"/>
                <w:sz w:val="18"/>
                <w:szCs w:val="18"/>
                <w:lang w:val="zh-CN"/>
              </w:rPr>
              <w:t>扣该指标分值的</w:t>
            </w:r>
            <w:r>
              <w:rPr>
                <w:rFonts w:ascii="??_GB2312" w:hAnsi="??_GB2312" w:cs="??_GB2312"/>
                <w:color w:val="000000"/>
                <w:kern w:val="0"/>
                <w:sz w:val="18"/>
                <w:szCs w:val="18"/>
              </w:rPr>
              <w:t>10%</w:t>
            </w:r>
            <w:r>
              <w:rPr>
                <w:rFonts w:hint="eastAsia" w:ascii="宋体" w:hAnsi="??_GB2312" w:cs="宋体"/>
                <w:color w:val="000000"/>
                <w:kern w:val="0"/>
                <w:sz w:val="18"/>
                <w:szCs w:val="18"/>
                <w:lang w:val="zh-CN"/>
              </w:rPr>
              <w:t>，满意度低于</w:t>
            </w:r>
            <w:r>
              <w:rPr>
                <w:rFonts w:ascii="??_GB2312" w:hAnsi="??_GB2312" w:cs="??_GB2312"/>
                <w:color w:val="000000"/>
                <w:kern w:val="0"/>
                <w:sz w:val="18"/>
                <w:szCs w:val="18"/>
              </w:rPr>
              <w:t>88%</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90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调查问卷</w:t>
            </w:r>
          </w:p>
        </w:tc>
      </w:tr>
      <w:tr>
        <w:tblPrEx>
          <w:tblCellMar>
            <w:top w:w="0" w:type="dxa"/>
            <w:left w:w="14" w:type="dxa"/>
            <w:bottom w:w="0" w:type="dxa"/>
            <w:right w:w="14" w:type="dxa"/>
          </w:tblCellMar>
        </w:tblPrEx>
        <w:trPr>
          <w:trHeight w:val="510" w:hRule="atLeast"/>
          <w:jc w:val="center"/>
        </w:trPr>
        <w:tc>
          <w:tcPr>
            <w:tcW w:w="307"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381" w:type="dxa"/>
            <w:vMerge w:val="continue"/>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76" w:lineRule="auto"/>
              <w:rPr>
                <w:rFonts w:ascii="宋体" w:hAnsi="??_GB2312" w:cs="宋体"/>
                <w:kern w:val="0"/>
                <w:sz w:val="22"/>
                <w:lang w:val="zh-CN"/>
              </w:rPr>
            </w:pPr>
          </w:p>
        </w:tc>
        <w:tc>
          <w:tcPr>
            <w:tcW w:w="9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公众安全感指数</w:t>
            </w:r>
          </w:p>
        </w:tc>
        <w:tc>
          <w:tcPr>
            <w:tcW w:w="195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对治安管理满意的人数占调查总人数的比率</w:t>
            </w:r>
          </w:p>
        </w:tc>
        <w:tc>
          <w:tcPr>
            <w:tcW w:w="2730"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满意度为</w:t>
            </w:r>
            <w:r>
              <w:rPr>
                <w:rFonts w:ascii="??_GB2312" w:hAnsi="??_GB2312" w:cs="??_GB2312"/>
                <w:color w:val="000000"/>
                <w:kern w:val="0"/>
                <w:sz w:val="18"/>
                <w:szCs w:val="18"/>
              </w:rPr>
              <w:t>90%</w:t>
            </w:r>
            <w:r>
              <w:rPr>
                <w:rFonts w:hint="eastAsia" w:ascii="宋体" w:hAnsi="??_GB2312" w:cs="宋体"/>
                <w:color w:val="000000"/>
                <w:kern w:val="0"/>
                <w:sz w:val="18"/>
                <w:szCs w:val="18"/>
                <w:lang w:val="zh-CN"/>
              </w:rPr>
              <w:t>得满分，每降低</w:t>
            </w:r>
            <w:r>
              <w:rPr>
                <w:rFonts w:ascii="??_GB2312" w:hAnsi="??_GB2312" w:cs="??_GB2312"/>
                <w:color w:val="000000"/>
                <w:kern w:val="0"/>
                <w:sz w:val="18"/>
                <w:szCs w:val="18"/>
              </w:rPr>
              <w:t>5%</w:t>
            </w:r>
            <w:r>
              <w:rPr>
                <w:rFonts w:hint="eastAsia" w:ascii="宋体" w:hAnsi="??_GB2312" w:cs="宋体"/>
                <w:color w:val="000000"/>
                <w:kern w:val="0"/>
                <w:sz w:val="18"/>
                <w:szCs w:val="18"/>
                <w:lang w:val="zh-CN"/>
              </w:rPr>
              <w:t>，扣该指标分值的</w:t>
            </w:r>
            <w:r>
              <w:rPr>
                <w:rFonts w:ascii="??_GB2312" w:hAnsi="??_GB2312" w:cs="??_GB2312"/>
                <w:color w:val="000000"/>
                <w:kern w:val="0"/>
                <w:sz w:val="18"/>
                <w:szCs w:val="18"/>
              </w:rPr>
              <w:t>10%</w:t>
            </w:r>
            <w:r>
              <w:rPr>
                <w:rFonts w:hint="eastAsia" w:ascii="宋体" w:hAnsi="??_GB2312" w:cs="宋体"/>
                <w:color w:val="000000"/>
                <w:kern w:val="0"/>
                <w:sz w:val="18"/>
                <w:szCs w:val="18"/>
                <w:lang w:val="zh-CN"/>
              </w:rPr>
              <w:t>，满意度低于</w:t>
            </w:r>
            <w:r>
              <w:rPr>
                <w:rFonts w:ascii="??_GB2312" w:hAnsi="??_GB2312" w:cs="??_GB2312"/>
                <w:color w:val="000000"/>
                <w:kern w:val="0"/>
                <w:sz w:val="18"/>
                <w:szCs w:val="18"/>
              </w:rPr>
              <w:t>60%</w:t>
            </w:r>
            <w:r>
              <w:rPr>
                <w:rFonts w:hint="eastAsia" w:ascii="宋体" w:hAnsi="??_GB2312" w:cs="宋体"/>
                <w:color w:val="000000"/>
                <w:kern w:val="0"/>
                <w:sz w:val="18"/>
                <w:szCs w:val="18"/>
                <w:lang w:val="zh-CN"/>
              </w:rPr>
              <w:t>得</w:t>
            </w:r>
            <w:r>
              <w:rPr>
                <w:rFonts w:ascii="??_GB2312" w:hAnsi="??_GB2312" w:cs="??_GB2312"/>
                <w:color w:val="000000"/>
                <w:kern w:val="0"/>
                <w:sz w:val="18"/>
                <w:szCs w:val="18"/>
              </w:rPr>
              <w:t>0</w:t>
            </w:r>
            <w:r>
              <w:rPr>
                <w:rFonts w:hint="eastAsia" w:ascii="宋体" w:hAnsi="??_GB2312" w:cs="宋体"/>
                <w:color w:val="000000"/>
                <w:kern w:val="0"/>
                <w:sz w:val="18"/>
                <w:szCs w:val="18"/>
                <w:lang w:val="zh-CN"/>
              </w:rPr>
              <w:t>分。</w:t>
            </w:r>
          </w:p>
        </w:tc>
        <w:tc>
          <w:tcPr>
            <w:tcW w:w="307"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w:t>
            </w:r>
          </w:p>
        </w:tc>
        <w:tc>
          <w:tcPr>
            <w:tcW w:w="503"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90</w:t>
            </w:r>
          </w:p>
        </w:tc>
        <w:tc>
          <w:tcPr>
            <w:tcW w:w="426" w:type="dxa"/>
            <w:tcBorders>
              <w:top w:val="single" w:color="000000" w:sz="2" w:space="0"/>
              <w:left w:val="single" w:color="000000" w:sz="2" w:space="0"/>
              <w:bottom w:val="single" w:color="000000" w:sz="2" w:space="0"/>
              <w:right w:val="nil"/>
            </w:tcBorders>
            <w:vAlign w:val="center"/>
          </w:tcPr>
          <w:p>
            <w:pPr>
              <w:autoSpaceDE w:val="0"/>
              <w:autoSpaceDN w:val="0"/>
              <w:adjustRightInd w:val="0"/>
              <w:jc w:val="center"/>
              <w:rPr>
                <w:rFonts w:ascii="宋体" w:hAnsi="??_GB2312" w:cs="宋体"/>
                <w:kern w:val="0"/>
                <w:sz w:val="22"/>
                <w:lang w:val="zh-CN"/>
              </w:rPr>
            </w:pPr>
            <w:r>
              <w:rPr>
                <w:rFonts w:ascii="??_GB2312" w:hAnsi="??_GB2312" w:cs="??_GB2312"/>
                <w:color w:val="000000"/>
                <w:kern w:val="0"/>
                <w:sz w:val="18"/>
                <w:szCs w:val="18"/>
              </w:rPr>
              <w:t>%</w:t>
            </w:r>
          </w:p>
        </w:tc>
        <w:tc>
          <w:tcPr>
            <w:tcW w:w="133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jc w:val="center"/>
              <w:rPr>
                <w:rFonts w:ascii="宋体" w:hAnsi="??_GB2312" w:cs="宋体"/>
                <w:kern w:val="0"/>
                <w:sz w:val="22"/>
                <w:lang w:val="zh-CN"/>
              </w:rPr>
            </w:pPr>
            <w:r>
              <w:rPr>
                <w:rFonts w:hint="eastAsia" w:ascii="宋体" w:hAnsi="??_GB2312" w:cs="宋体"/>
                <w:color w:val="000000"/>
                <w:kern w:val="0"/>
                <w:sz w:val="18"/>
                <w:szCs w:val="18"/>
                <w:lang w:val="zh-CN"/>
              </w:rPr>
              <w:t>调查问卷</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pPr>
      <w:r>
        <w:rPr>
          <w:rFonts w:ascii="方正仿宋_GBK" w:hAnsi="方正仿宋_GBK" w:eastAsia="方正仿宋_GBK" w:cs="方正仿宋_GBK"/>
          <w:b/>
          <w:color w:val="000000"/>
          <w:sz w:val="28"/>
        </w:rPr>
        <w:t>1、妇联工作经费绩效目标表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rPr>
                <w:lang w:eastAsia="zh-CN"/>
              </w:rPr>
            </w:pPr>
            <w:r>
              <w:t>1.通过项目的开展印发宣传册提高宣传覆盖率，促进居民自觉维护环境卫生，建设和谐美好社区，实现群众满意的目标。</w:t>
            </w:r>
            <w:r>
              <w:tab/>
            </w:r>
            <w:r>
              <w:tab/>
            </w:r>
            <w:r>
              <w:tab/>
            </w:r>
          </w:p>
          <w:p>
            <w:pPr>
              <w:pStyle w:val="14"/>
            </w:pPr>
            <w:r>
              <w:t>2.通过项目的开展印发宣传单页、制作条幅、展牌，提高宣传覆盖率，促进居民自觉维护环境卫生，并清理无物业小区进行绿化补植、垃圾清理和大气污染经费，建设和谐美好社区，实现群众满意的目标。</w:t>
            </w:r>
            <w:r>
              <w:tab/>
            </w:r>
            <w:r>
              <w:tab/>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物品数量</w:t>
            </w:r>
          </w:p>
        </w:tc>
        <w:tc>
          <w:tcPr>
            <w:tcW w:w="2835" w:type="dxa"/>
            <w:vAlign w:val="center"/>
          </w:tcPr>
          <w:p>
            <w:pPr>
              <w:pStyle w:val="14"/>
            </w:pPr>
            <w:r>
              <w:t>宣传册及物品数量</w:t>
            </w:r>
          </w:p>
        </w:tc>
        <w:tc>
          <w:tcPr>
            <w:tcW w:w="2551" w:type="dxa"/>
            <w:vAlign w:val="center"/>
          </w:tcPr>
          <w:p>
            <w:pPr>
              <w:pStyle w:val="14"/>
            </w:pPr>
            <w:r>
              <w:t>≥100件</w:t>
            </w:r>
          </w:p>
        </w:tc>
        <w:tc>
          <w:tcPr>
            <w:tcW w:w="2268" w:type="dxa"/>
            <w:vAlign w:val="center"/>
          </w:tcPr>
          <w:p>
            <w:pPr>
              <w:pStyle w:val="14"/>
            </w:pPr>
            <w: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物品合格率</w:t>
            </w:r>
          </w:p>
        </w:tc>
        <w:tc>
          <w:tcPr>
            <w:tcW w:w="2835" w:type="dxa"/>
            <w:vAlign w:val="center"/>
          </w:tcPr>
          <w:p>
            <w:pPr>
              <w:pStyle w:val="14"/>
            </w:pPr>
            <w:r>
              <w:t>采购宣传品和活动用品的     合格率</w:t>
            </w:r>
          </w:p>
        </w:tc>
        <w:tc>
          <w:tcPr>
            <w:tcW w:w="2551" w:type="dxa"/>
            <w:vAlign w:val="center"/>
          </w:tcPr>
          <w:p>
            <w:pPr>
              <w:pStyle w:val="14"/>
            </w:pPr>
            <w:r>
              <w:t>≥90%</w:t>
            </w:r>
          </w:p>
        </w:tc>
        <w:tc>
          <w:tcPr>
            <w:tcW w:w="2268" w:type="dxa"/>
            <w:vAlign w:val="center"/>
          </w:tcPr>
          <w:p>
            <w:pPr>
              <w:pStyle w:val="14"/>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2835" w:type="dxa"/>
            <w:vAlign w:val="center"/>
          </w:tcPr>
          <w:p>
            <w:pPr>
              <w:pStyle w:val="14"/>
            </w:pPr>
            <w:r>
              <w:t>实际支出时间</w:t>
            </w:r>
          </w:p>
        </w:tc>
        <w:tc>
          <w:tcPr>
            <w:tcW w:w="2551" w:type="dxa"/>
            <w:vAlign w:val="center"/>
          </w:tcPr>
          <w:p>
            <w:pPr>
              <w:pStyle w:val="14"/>
            </w:pPr>
            <w:r>
              <w:t>≤12月份</w:t>
            </w:r>
          </w:p>
        </w:tc>
        <w:tc>
          <w:tcPr>
            <w:tcW w:w="2268" w:type="dxa"/>
            <w:vAlign w:val="center"/>
          </w:tcPr>
          <w:p>
            <w:pPr>
              <w:pStyle w:val="14"/>
            </w:pPr>
            <w: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资金预算控制</w:t>
            </w:r>
          </w:p>
        </w:tc>
        <w:tc>
          <w:tcPr>
            <w:tcW w:w="2835" w:type="dxa"/>
            <w:vAlign w:val="center"/>
          </w:tcPr>
          <w:p>
            <w:pPr>
              <w:pStyle w:val="14"/>
            </w:pPr>
            <w:r>
              <w:t>项目总支出控制在预算范围内</w:t>
            </w:r>
          </w:p>
        </w:tc>
        <w:tc>
          <w:tcPr>
            <w:tcW w:w="2551" w:type="dxa"/>
            <w:vAlign w:val="center"/>
          </w:tcPr>
          <w:p>
            <w:pPr>
              <w:pStyle w:val="14"/>
            </w:pPr>
            <w:r>
              <w:t>≤0.58万元</w:t>
            </w:r>
          </w:p>
        </w:tc>
        <w:tc>
          <w:tcPr>
            <w:tcW w:w="2268" w:type="dxa"/>
            <w:vAlign w:val="center"/>
          </w:tcPr>
          <w:p>
            <w:pPr>
              <w:pStyle w:val="14"/>
            </w:pPr>
            <w: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覆盖率</w:t>
            </w:r>
          </w:p>
        </w:tc>
        <w:tc>
          <w:tcPr>
            <w:tcW w:w="2835" w:type="dxa"/>
            <w:vAlign w:val="center"/>
          </w:tcPr>
          <w:p>
            <w:pPr>
              <w:pStyle w:val="14"/>
            </w:pPr>
            <w:r>
              <w:t>在辖区内开展活动的覆盖率</w:t>
            </w:r>
          </w:p>
        </w:tc>
        <w:tc>
          <w:tcPr>
            <w:tcW w:w="2551" w:type="dxa"/>
            <w:vAlign w:val="center"/>
          </w:tcPr>
          <w:p>
            <w:pPr>
              <w:pStyle w:val="14"/>
            </w:pPr>
            <w:r>
              <w:t>≥90%</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群众满意率</w:t>
            </w:r>
          </w:p>
        </w:tc>
        <w:tc>
          <w:tcPr>
            <w:tcW w:w="2835" w:type="dxa"/>
            <w:vAlign w:val="center"/>
          </w:tcPr>
          <w:p>
            <w:pPr>
              <w:pStyle w:val="14"/>
            </w:pPr>
            <w:r>
              <w:t>辖区内妇女的满意度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2、纪工委工作经费绩效目标表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1.确保完成街道社区纪检工作日常需求，提高工作效率和居民满意度。</w:t>
            </w:r>
            <w:r>
              <w:tab/>
            </w:r>
            <w:r>
              <w:tab/>
            </w:r>
            <w:r>
              <w:tab/>
            </w:r>
            <w:r>
              <w:tab/>
            </w:r>
            <w:r>
              <w:tab/>
            </w:r>
          </w:p>
          <w:p>
            <w:pPr>
              <w:pStyle w:val="14"/>
            </w:pPr>
            <w:r>
              <w:t>2.通过订购20份报纸刊物，确保完成街道社区纪检工作日常需求，提高工作效率和居民满意度。</w:t>
            </w:r>
            <w:r>
              <w:tab/>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订购报纸刊物份数</w:t>
            </w:r>
          </w:p>
        </w:tc>
        <w:tc>
          <w:tcPr>
            <w:tcW w:w="2835" w:type="dxa"/>
            <w:vAlign w:val="center"/>
          </w:tcPr>
          <w:p>
            <w:pPr>
              <w:pStyle w:val="14"/>
            </w:pPr>
            <w:r>
              <w:t>按照纪委监察部门要求，订购征订“两报一刊”份数</w:t>
            </w:r>
          </w:p>
        </w:tc>
        <w:tc>
          <w:tcPr>
            <w:tcW w:w="2551" w:type="dxa"/>
            <w:vAlign w:val="center"/>
          </w:tcPr>
          <w:p>
            <w:pPr>
              <w:pStyle w:val="14"/>
            </w:pPr>
            <w:r>
              <w:t>≥20份</w:t>
            </w:r>
          </w:p>
        </w:tc>
        <w:tc>
          <w:tcPr>
            <w:tcW w:w="2268" w:type="dxa"/>
            <w:vAlign w:val="center"/>
          </w:tcPr>
          <w:p>
            <w:pPr>
              <w:pStyle w:val="14"/>
            </w:pPr>
            <w: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工作正常开展率</w:t>
            </w:r>
          </w:p>
        </w:tc>
        <w:tc>
          <w:tcPr>
            <w:tcW w:w="2835" w:type="dxa"/>
            <w:vAlign w:val="center"/>
          </w:tcPr>
          <w:p>
            <w:pPr>
              <w:pStyle w:val="14"/>
            </w:pPr>
            <w:r>
              <w:t>正常工作开展天数占总天数的比率</w:t>
            </w:r>
          </w:p>
        </w:tc>
        <w:tc>
          <w:tcPr>
            <w:tcW w:w="2551" w:type="dxa"/>
            <w:vAlign w:val="center"/>
          </w:tcPr>
          <w:p>
            <w:pPr>
              <w:pStyle w:val="14"/>
            </w:pPr>
            <w:r>
              <w:t>100%</w:t>
            </w:r>
          </w:p>
        </w:tc>
        <w:tc>
          <w:tcPr>
            <w:tcW w:w="2268" w:type="dxa"/>
            <w:vAlign w:val="center"/>
          </w:tcPr>
          <w:p>
            <w:pPr>
              <w:pStyle w:val="14"/>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2835" w:type="dxa"/>
            <w:vAlign w:val="center"/>
          </w:tcPr>
          <w:p>
            <w:pPr>
              <w:pStyle w:val="14"/>
            </w:pPr>
            <w:r>
              <w:t>反映实际支出时间</w:t>
            </w:r>
          </w:p>
        </w:tc>
        <w:tc>
          <w:tcPr>
            <w:tcW w:w="2551" w:type="dxa"/>
            <w:vAlign w:val="center"/>
          </w:tcPr>
          <w:p>
            <w:pPr>
              <w:pStyle w:val="14"/>
            </w:pPr>
            <w:r>
              <w:t>≤12月份</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2835" w:type="dxa"/>
            <w:vAlign w:val="center"/>
          </w:tcPr>
          <w:p>
            <w:pPr>
              <w:pStyle w:val="14"/>
            </w:pPr>
            <w:r>
              <w:t>反映项目成本</w:t>
            </w:r>
          </w:p>
        </w:tc>
        <w:tc>
          <w:tcPr>
            <w:tcW w:w="2551" w:type="dxa"/>
            <w:vAlign w:val="center"/>
          </w:tcPr>
          <w:p>
            <w:pPr>
              <w:pStyle w:val="14"/>
            </w:pPr>
            <w:r>
              <w:t>100%</w:t>
            </w:r>
          </w:p>
        </w:tc>
        <w:tc>
          <w:tcPr>
            <w:tcW w:w="2268" w:type="dxa"/>
            <w:vAlign w:val="center"/>
          </w:tcPr>
          <w:p>
            <w:pPr>
              <w:pStyle w:val="14"/>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保证正常工作开展</w:t>
            </w:r>
          </w:p>
        </w:tc>
        <w:tc>
          <w:tcPr>
            <w:tcW w:w="2835" w:type="dxa"/>
            <w:vAlign w:val="center"/>
          </w:tcPr>
          <w:p>
            <w:pPr>
              <w:pStyle w:val="14"/>
            </w:pPr>
            <w:r>
              <w:t>正常工作开展天数占总天数的比率</w:t>
            </w:r>
          </w:p>
        </w:tc>
        <w:tc>
          <w:tcPr>
            <w:tcW w:w="2551" w:type="dxa"/>
            <w:vAlign w:val="center"/>
          </w:tcPr>
          <w:p>
            <w:pPr>
              <w:pStyle w:val="14"/>
            </w:pPr>
            <w:r>
              <w:t>100%</w:t>
            </w:r>
          </w:p>
        </w:tc>
        <w:tc>
          <w:tcPr>
            <w:tcW w:w="2268" w:type="dxa"/>
            <w:vAlign w:val="center"/>
          </w:tcPr>
          <w:p>
            <w:pPr>
              <w:pStyle w:val="14"/>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综合满意度</w:t>
            </w:r>
          </w:p>
        </w:tc>
        <w:tc>
          <w:tcPr>
            <w:tcW w:w="2835" w:type="dxa"/>
            <w:vAlign w:val="center"/>
          </w:tcPr>
          <w:p>
            <w:pPr>
              <w:pStyle w:val="14"/>
            </w:pPr>
            <w:r>
              <w:t>社区满意度</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3、企业公章刻制费绩效目标表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rPr>
                <w:lang w:eastAsia="zh-CN"/>
              </w:rPr>
            </w:pPr>
            <w:r>
              <w:t>1.通过项目的开展为居民提供优质服务，提高工作效率，缩减企业开办时间，简化企业公章刻制流程。</w:t>
            </w:r>
            <w:r>
              <w:tab/>
            </w:r>
            <w:r>
              <w:tab/>
            </w:r>
            <w:r>
              <w:tab/>
            </w:r>
            <w:r>
              <w:tab/>
            </w:r>
            <w:r>
              <w:tab/>
            </w:r>
            <w:r>
              <w:tab/>
            </w:r>
            <w:r>
              <w:tab/>
            </w:r>
          </w:p>
          <w:p>
            <w:pPr>
              <w:pStyle w:val="14"/>
            </w:pPr>
            <w:r>
              <w:t>2.通过为企业刻制800个公章，为居民提供优质服务，提高工作效率，缩减企业开办时间，简化企业公章刻制流程。</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刻制公章数量</w:t>
            </w:r>
          </w:p>
        </w:tc>
        <w:tc>
          <w:tcPr>
            <w:tcW w:w="2835" w:type="dxa"/>
            <w:vAlign w:val="center"/>
          </w:tcPr>
          <w:p>
            <w:pPr>
              <w:pStyle w:val="14"/>
            </w:pPr>
            <w:r>
              <w:t>企业公章刻制数量</w:t>
            </w:r>
          </w:p>
        </w:tc>
        <w:tc>
          <w:tcPr>
            <w:tcW w:w="2551" w:type="dxa"/>
            <w:vAlign w:val="center"/>
          </w:tcPr>
          <w:p>
            <w:pPr>
              <w:pStyle w:val="14"/>
            </w:pPr>
            <w:r>
              <w:t>≥800个</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刻制公章合格率</w:t>
            </w:r>
          </w:p>
        </w:tc>
        <w:tc>
          <w:tcPr>
            <w:tcW w:w="2835" w:type="dxa"/>
            <w:vAlign w:val="center"/>
          </w:tcPr>
          <w:p>
            <w:pPr>
              <w:pStyle w:val="14"/>
            </w:pPr>
            <w:r>
              <w:t>徐刻制公章验收  合格率</w:t>
            </w:r>
          </w:p>
        </w:tc>
        <w:tc>
          <w:tcPr>
            <w:tcW w:w="2551" w:type="dxa"/>
            <w:vAlign w:val="center"/>
          </w:tcPr>
          <w:p>
            <w:pPr>
              <w:pStyle w:val="14"/>
            </w:pPr>
            <w:r>
              <w:t>100%</w:t>
            </w:r>
          </w:p>
        </w:tc>
        <w:tc>
          <w:tcPr>
            <w:tcW w:w="2268" w:type="dxa"/>
            <w:vAlign w:val="center"/>
          </w:tcPr>
          <w:p>
            <w:pPr>
              <w:pStyle w:val="14"/>
            </w:pPr>
            <w:r>
              <w:t>公章正常使用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2835" w:type="dxa"/>
            <w:vAlign w:val="center"/>
          </w:tcPr>
          <w:p>
            <w:pPr>
              <w:pStyle w:val="14"/>
            </w:pPr>
            <w:r>
              <w:t>实际支付时间</w:t>
            </w:r>
          </w:p>
        </w:tc>
        <w:tc>
          <w:tcPr>
            <w:tcW w:w="2551" w:type="dxa"/>
            <w:vAlign w:val="center"/>
          </w:tcPr>
          <w:p>
            <w:pPr>
              <w:pStyle w:val="14"/>
            </w:pPr>
            <w:r>
              <w:t>≤12月份</w:t>
            </w:r>
          </w:p>
        </w:tc>
        <w:tc>
          <w:tcPr>
            <w:tcW w:w="2268" w:type="dxa"/>
            <w:vAlign w:val="center"/>
          </w:tcPr>
          <w:p>
            <w:pPr>
              <w:pStyle w:val="14"/>
            </w:pPr>
            <w:r>
              <w:t>实际工作时间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单位成本</w:t>
            </w:r>
          </w:p>
        </w:tc>
        <w:tc>
          <w:tcPr>
            <w:tcW w:w="2835" w:type="dxa"/>
            <w:vAlign w:val="center"/>
          </w:tcPr>
          <w:p>
            <w:pPr>
              <w:pStyle w:val="14"/>
            </w:pPr>
            <w:r>
              <w:t>刻制公章单位成本</w:t>
            </w:r>
          </w:p>
        </w:tc>
        <w:tc>
          <w:tcPr>
            <w:tcW w:w="2551" w:type="dxa"/>
            <w:vAlign w:val="center"/>
          </w:tcPr>
          <w:p>
            <w:pPr>
              <w:pStyle w:val="14"/>
            </w:pPr>
            <w:r>
              <w:t>≤25元</w:t>
            </w:r>
          </w:p>
        </w:tc>
        <w:tc>
          <w:tcPr>
            <w:tcW w:w="2268" w:type="dxa"/>
            <w:vAlign w:val="center"/>
          </w:tcPr>
          <w:p>
            <w:pPr>
              <w:pStyle w:val="14"/>
            </w:pPr>
            <w:r>
              <w:t>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刻制流程简化效果</w:t>
            </w:r>
          </w:p>
        </w:tc>
        <w:tc>
          <w:tcPr>
            <w:tcW w:w="2835" w:type="dxa"/>
            <w:vAlign w:val="center"/>
          </w:tcPr>
          <w:p>
            <w:pPr>
              <w:pStyle w:val="14"/>
            </w:pPr>
            <w:r>
              <w:t>缩减企业开办时间，简化企业公章刻制流程效果</w:t>
            </w:r>
          </w:p>
        </w:tc>
        <w:tc>
          <w:tcPr>
            <w:tcW w:w="2551" w:type="dxa"/>
            <w:vAlign w:val="center"/>
          </w:tcPr>
          <w:p>
            <w:pPr>
              <w:pStyle w:val="14"/>
            </w:pPr>
            <w:r>
              <w:t>效果显著</w:t>
            </w:r>
          </w:p>
        </w:tc>
        <w:tc>
          <w:tcPr>
            <w:tcW w:w="2268" w:type="dxa"/>
            <w:vAlign w:val="center"/>
          </w:tcPr>
          <w:p>
            <w:pPr>
              <w:pStyle w:val="14"/>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居民满意度</w:t>
            </w:r>
          </w:p>
        </w:tc>
        <w:tc>
          <w:tcPr>
            <w:tcW w:w="2835" w:type="dxa"/>
            <w:vAlign w:val="center"/>
          </w:tcPr>
          <w:p>
            <w:pPr>
              <w:pStyle w:val="14"/>
            </w:pPr>
            <w:r>
              <w:t>企业开办满意度</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4、群众说事干部解题工作经费绩效目标表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rPr>
                <w:lang w:eastAsia="zh-CN"/>
              </w:rPr>
            </w:pPr>
            <w:r>
              <w:t>1.保障群众提岀诉求,到受理、分流、办理、反馈,都能在线上流转,办理进度、结果能够实时查看、一目了然,通过信息化手段打通“说事”渠道、畅通“解题”环节。</w:t>
            </w:r>
            <w:r>
              <w:tab/>
            </w:r>
          </w:p>
          <w:p>
            <w:pPr>
              <w:pStyle w:val="14"/>
            </w:pPr>
            <w:r>
              <w:t>2.保障群众提岀诉求,到受理、分流、办理、反馈,都能在线上流转,办理进度、结果能够实时查看、一目了然,通过信息化手段打通“说事”渠道、畅通“解题”环节。</w:t>
            </w:r>
            <w:r>
              <w:tab/>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宣传材料数量</w:t>
            </w:r>
          </w:p>
        </w:tc>
        <w:tc>
          <w:tcPr>
            <w:tcW w:w="2835" w:type="dxa"/>
            <w:vAlign w:val="center"/>
          </w:tcPr>
          <w:p>
            <w:pPr>
              <w:pStyle w:val="14"/>
            </w:pPr>
            <w:r>
              <w:t>根据工作需要购买宣传材料的件数</w:t>
            </w:r>
          </w:p>
        </w:tc>
        <w:tc>
          <w:tcPr>
            <w:tcW w:w="2551" w:type="dxa"/>
            <w:vAlign w:val="center"/>
          </w:tcPr>
          <w:p>
            <w:pPr>
              <w:pStyle w:val="14"/>
            </w:pPr>
            <w:r>
              <w:t>≥1200个</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宣传材料合格率</w:t>
            </w:r>
          </w:p>
        </w:tc>
        <w:tc>
          <w:tcPr>
            <w:tcW w:w="2835" w:type="dxa"/>
            <w:vAlign w:val="center"/>
          </w:tcPr>
          <w:p>
            <w:pPr>
              <w:pStyle w:val="14"/>
            </w:pPr>
            <w:r>
              <w:t>验收合格率</w:t>
            </w:r>
          </w:p>
        </w:tc>
        <w:tc>
          <w:tcPr>
            <w:tcW w:w="2551" w:type="dxa"/>
            <w:vAlign w:val="center"/>
          </w:tcPr>
          <w:p>
            <w:pPr>
              <w:pStyle w:val="14"/>
            </w:pPr>
            <w:r>
              <w:t>≥90%</w:t>
            </w:r>
          </w:p>
        </w:tc>
        <w:tc>
          <w:tcPr>
            <w:tcW w:w="2268" w:type="dxa"/>
            <w:vAlign w:val="center"/>
          </w:tcPr>
          <w:p>
            <w:pPr>
              <w:pStyle w:val="14"/>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2835" w:type="dxa"/>
            <w:vAlign w:val="center"/>
          </w:tcPr>
          <w:p>
            <w:pPr>
              <w:pStyle w:val="14"/>
            </w:pPr>
            <w:r>
              <w:t>实际支付时间</w:t>
            </w:r>
          </w:p>
        </w:tc>
        <w:tc>
          <w:tcPr>
            <w:tcW w:w="2551" w:type="dxa"/>
            <w:vAlign w:val="center"/>
          </w:tcPr>
          <w:p>
            <w:pPr>
              <w:pStyle w:val="14"/>
            </w:pPr>
            <w:r>
              <w:t>≤12月份</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预算资金控制</w:t>
            </w:r>
          </w:p>
        </w:tc>
        <w:tc>
          <w:tcPr>
            <w:tcW w:w="2835" w:type="dxa"/>
            <w:vAlign w:val="center"/>
          </w:tcPr>
          <w:p>
            <w:pPr>
              <w:pStyle w:val="14"/>
            </w:pPr>
            <w:r>
              <w:t>项目总体支出控制在预算范围内</w:t>
            </w:r>
          </w:p>
        </w:tc>
        <w:tc>
          <w:tcPr>
            <w:tcW w:w="2551" w:type="dxa"/>
            <w:vAlign w:val="center"/>
          </w:tcPr>
          <w:p>
            <w:pPr>
              <w:pStyle w:val="14"/>
            </w:pPr>
            <w:r>
              <w:t>≤3万元</w:t>
            </w:r>
          </w:p>
        </w:tc>
        <w:tc>
          <w:tcPr>
            <w:tcW w:w="2268" w:type="dxa"/>
            <w:vAlign w:val="center"/>
          </w:tcPr>
          <w:p>
            <w:pPr>
              <w:pStyle w:val="14"/>
            </w:pPr>
            <w:r>
              <w:t>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宣传覆盖率</w:t>
            </w:r>
          </w:p>
        </w:tc>
        <w:tc>
          <w:tcPr>
            <w:tcW w:w="2835" w:type="dxa"/>
            <w:vAlign w:val="center"/>
          </w:tcPr>
          <w:p>
            <w:pPr>
              <w:pStyle w:val="14"/>
            </w:pPr>
            <w:r>
              <w:t>全辖区居民小区</w:t>
            </w:r>
          </w:p>
        </w:tc>
        <w:tc>
          <w:tcPr>
            <w:tcW w:w="2551" w:type="dxa"/>
            <w:vAlign w:val="center"/>
          </w:tcPr>
          <w:p>
            <w:pPr>
              <w:pStyle w:val="14"/>
            </w:pPr>
            <w:r>
              <w:t>≥90%</w:t>
            </w:r>
          </w:p>
        </w:tc>
        <w:tc>
          <w:tcPr>
            <w:tcW w:w="2268" w:type="dxa"/>
            <w:vAlign w:val="center"/>
          </w:tcPr>
          <w:p>
            <w:pPr>
              <w:pStyle w:val="14"/>
            </w:pPr>
            <w: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居民满意度</w:t>
            </w:r>
          </w:p>
        </w:tc>
        <w:tc>
          <w:tcPr>
            <w:tcW w:w="2835" w:type="dxa"/>
            <w:vAlign w:val="center"/>
          </w:tcPr>
          <w:p>
            <w:pPr>
              <w:pStyle w:val="14"/>
            </w:pPr>
            <w:r>
              <w:t>居民满意度</w:t>
            </w:r>
          </w:p>
        </w:tc>
        <w:tc>
          <w:tcPr>
            <w:tcW w:w="2551" w:type="dxa"/>
            <w:vAlign w:val="center"/>
          </w:tcPr>
          <w:p>
            <w:pPr>
              <w:pStyle w:val="14"/>
            </w:pPr>
            <w:r>
              <w:t>≥90%</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5、融媒体宣传专项经费绩效目标表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rPr>
                <w:lang w:eastAsia="zh-CN"/>
              </w:rPr>
            </w:pPr>
            <w:r>
              <w:t>1.通过融媒体平台集中展示街道社区重点、亮点工作成果，向社会大众展示街道、社区工作形象，加深大众对街道、社区的了解。</w:t>
            </w:r>
            <w:r>
              <w:tab/>
            </w:r>
          </w:p>
          <w:p>
            <w:pPr>
              <w:pStyle w:val="14"/>
            </w:pPr>
            <w:r>
              <w:t>2.通过融媒体平台的展示，让大众了解街道、社区工作，增加居民对街道、社区工作的支持率。</w:t>
            </w:r>
            <w:r>
              <w:tab/>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刊播数量</w:t>
            </w:r>
          </w:p>
        </w:tc>
        <w:tc>
          <w:tcPr>
            <w:tcW w:w="2835" w:type="dxa"/>
            <w:vAlign w:val="center"/>
          </w:tcPr>
          <w:p>
            <w:pPr>
              <w:pStyle w:val="14"/>
            </w:pPr>
            <w:r>
              <w:t>县委、县政府工作要求及街道、社区重点工作落实情况</w:t>
            </w:r>
          </w:p>
        </w:tc>
        <w:tc>
          <w:tcPr>
            <w:tcW w:w="2551" w:type="dxa"/>
            <w:vAlign w:val="center"/>
          </w:tcPr>
          <w:p>
            <w:pPr>
              <w:pStyle w:val="14"/>
            </w:pPr>
            <w:r>
              <w:t>≥90%</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刊播要求</w:t>
            </w:r>
          </w:p>
        </w:tc>
        <w:tc>
          <w:tcPr>
            <w:tcW w:w="2835" w:type="dxa"/>
            <w:vAlign w:val="center"/>
          </w:tcPr>
          <w:p>
            <w:pPr>
              <w:pStyle w:val="14"/>
            </w:pPr>
            <w:r>
              <w:t>保证正常播放，播放率</w:t>
            </w:r>
          </w:p>
        </w:tc>
        <w:tc>
          <w:tcPr>
            <w:tcW w:w="2551" w:type="dxa"/>
            <w:vAlign w:val="center"/>
          </w:tcPr>
          <w:p>
            <w:pPr>
              <w:pStyle w:val="14"/>
            </w:pPr>
            <w:r>
              <w:t>≥95%</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节点性、时效性</w:t>
            </w:r>
          </w:p>
        </w:tc>
        <w:tc>
          <w:tcPr>
            <w:tcW w:w="2551" w:type="dxa"/>
            <w:vAlign w:val="center"/>
          </w:tcPr>
          <w:p>
            <w:pPr>
              <w:pStyle w:val="14"/>
            </w:pPr>
            <w:r>
              <w:t>≥95%</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预算资金控制</w:t>
            </w:r>
          </w:p>
        </w:tc>
        <w:tc>
          <w:tcPr>
            <w:tcW w:w="2835" w:type="dxa"/>
            <w:vAlign w:val="center"/>
          </w:tcPr>
          <w:p>
            <w:pPr>
              <w:pStyle w:val="14"/>
            </w:pPr>
            <w:r>
              <w:t>资金预算控制</w:t>
            </w:r>
          </w:p>
        </w:tc>
        <w:tc>
          <w:tcPr>
            <w:tcW w:w="2551" w:type="dxa"/>
            <w:vAlign w:val="center"/>
          </w:tcPr>
          <w:p>
            <w:pPr>
              <w:pStyle w:val="14"/>
            </w:pPr>
            <w:r>
              <w:t>≤5万元</w:t>
            </w:r>
          </w:p>
        </w:tc>
        <w:tc>
          <w:tcPr>
            <w:tcW w:w="2268" w:type="dxa"/>
            <w:vAlign w:val="center"/>
          </w:tcPr>
          <w:p>
            <w:pPr>
              <w:pStyle w:val="14"/>
            </w:pPr>
            <w:r>
              <w:t>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刊播发布覆盖率</w:t>
            </w:r>
          </w:p>
        </w:tc>
        <w:tc>
          <w:tcPr>
            <w:tcW w:w="2835" w:type="dxa"/>
            <w:vAlign w:val="center"/>
          </w:tcPr>
          <w:p>
            <w:pPr>
              <w:pStyle w:val="14"/>
            </w:pPr>
            <w:r>
              <w:t>反映街道社区重点、亮点工作成果的发布范围</w:t>
            </w:r>
          </w:p>
        </w:tc>
        <w:tc>
          <w:tcPr>
            <w:tcW w:w="2551" w:type="dxa"/>
            <w:vAlign w:val="center"/>
          </w:tcPr>
          <w:p>
            <w:pPr>
              <w:pStyle w:val="14"/>
            </w:pPr>
            <w:r>
              <w:t>≥90%</w:t>
            </w:r>
          </w:p>
        </w:tc>
        <w:tc>
          <w:tcPr>
            <w:tcW w:w="2268" w:type="dxa"/>
            <w:vAlign w:val="center"/>
          </w:tcPr>
          <w:p>
            <w:pPr>
              <w:pStyle w:val="14"/>
            </w:pPr>
            <w:r>
              <w:t>刊播报告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居民满意度</w:t>
            </w:r>
          </w:p>
        </w:tc>
        <w:tc>
          <w:tcPr>
            <w:tcW w:w="2835" w:type="dxa"/>
            <w:vAlign w:val="center"/>
          </w:tcPr>
          <w:p>
            <w:pPr>
              <w:pStyle w:val="14"/>
            </w:pPr>
            <w:r>
              <w:t>居民满意度</w:t>
            </w:r>
          </w:p>
        </w:tc>
        <w:tc>
          <w:tcPr>
            <w:tcW w:w="2551" w:type="dxa"/>
            <w:vAlign w:val="center"/>
          </w:tcPr>
          <w:p>
            <w:pPr>
              <w:pStyle w:val="14"/>
            </w:pPr>
            <w:r>
              <w:t>≥90%</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6、社区党组织服务群众专项经费绩效目标表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rPr>
                <w:lang w:eastAsia="zh-CN"/>
              </w:rPr>
            </w:pPr>
            <w:r>
              <w:t>1.通过项目的开展完成13个社区完善社区服务设施建设、社区党员团队服务建设、解决居民的迫切需要、为居民提供服务、为物业公司进行补贴，实现降低群众问题反映率、提高群众满意率的目标。</w:t>
            </w:r>
          </w:p>
          <w:p>
            <w:pPr>
              <w:pStyle w:val="14"/>
            </w:pPr>
            <w:r>
              <w:t>2.通过项目的开展完成13个社区完善社区服务设施建设、社区党员团队服务建设、解决居民的迫切需要、为居民提供服务、为物业公司进行补贴，实现降低群众问题反映率、提高群众满意率的目标。</w:t>
            </w:r>
            <w:r>
              <w:tab/>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社区数量</w:t>
            </w:r>
          </w:p>
        </w:tc>
        <w:tc>
          <w:tcPr>
            <w:tcW w:w="2835" w:type="dxa"/>
            <w:vAlign w:val="center"/>
          </w:tcPr>
          <w:p>
            <w:pPr>
              <w:pStyle w:val="14"/>
            </w:pPr>
            <w:r>
              <w:t>完善社区服务设施建设、社区党员团队服务建设、解决居民的迫切需要、为居民提供服务、为物业公司进行补贴的社区数量</w:t>
            </w:r>
          </w:p>
        </w:tc>
        <w:tc>
          <w:tcPr>
            <w:tcW w:w="2551" w:type="dxa"/>
            <w:vAlign w:val="center"/>
          </w:tcPr>
          <w:p>
            <w:pPr>
              <w:pStyle w:val="14"/>
            </w:pPr>
            <w:r>
              <w:t>13个</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服务到位率</w:t>
            </w:r>
          </w:p>
        </w:tc>
        <w:tc>
          <w:tcPr>
            <w:tcW w:w="2835" w:type="dxa"/>
            <w:vAlign w:val="center"/>
          </w:tcPr>
          <w:p>
            <w:pPr>
              <w:pStyle w:val="14"/>
            </w:pPr>
            <w:r>
              <w:t>服务到位的工作量与应服务到位工作总量的比例</w:t>
            </w:r>
          </w:p>
        </w:tc>
        <w:tc>
          <w:tcPr>
            <w:tcW w:w="2551" w:type="dxa"/>
            <w:vAlign w:val="center"/>
          </w:tcPr>
          <w:p>
            <w:pPr>
              <w:pStyle w:val="14"/>
            </w:pPr>
            <w:r>
              <w:t>100%</w:t>
            </w:r>
          </w:p>
        </w:tc>
        <w:tc>
          <w:tcPr>
            <w:tcW w:w="2268" w:type="dxa"/>
            <w:vAlign w:val="center"/>
          </w:tcPr>
          <w:p>
            <w:pPr>
              <w:pStyle w:val="14"/>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社区服务工作及时性</w:t>
            </w:r>
          </w:p>
        </w:tc>
        <w:tc>
          <w:tcPr>
            <w:tcW w:w="2835" w:type="dxa"/>
            <w:vAlign w:val="center"/>
          </w:tcPr>
          <w:p>
            <w:pPr>
              <w:pStyle w:val="14"/>
            </w:pPr>
            <w:r>
              <w:t>为社区服务工作在规定时间内完成</w:t>
            </w:r>
          </w:p>
        </w:tc>
        <w:tc>
          <w:tcPr>
            <w:tcW w:w="2551" w:type="dxa"/>
            <w:vAlign w:val="center"/>
          </w:tcPr>
          <w:p>
            <w:pPr>
              <w:pStyle w:val="14"/>
            </w:pPr>
            <w:r>
              <w:t>及时</w:t>
            </w:r>
          </w:p>
        </w:tc>
        <w:tc>
          <w:tcPr>
            <w:tcW w:w="2268" w:type="dxa"/>
            <w:vAlign w:val="center"/>
          </w:tcPr>
          <w:p>
            <w:pPr>
              <w:pStyle w:val="14"/>
            </w:pPr>
            <w:r>
              <w:t>合同、工作计划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社区平均成本</w:t>
            </w:r>
          </w:p>
        </w:tc>
        <w:tc>
          <w:tcPr>
            <w:tcW w:w="2835" w:type="dxa"/>
            <w:vAlign w:val="center"/>
          </w:tcPr>
          <w:p>
            <w:pPr>
              <w:pStyle w:val="14"/>
            </w:pPr>
            <w:r>
              <w:t>每个社区完成社区服务的费用</w:t>
            </w:r>
          </w:p>
        </w:tc>
        <w:tc>
          <w:tcPr>
            <w:tcW w:w="2551" w:type="dxa"/>
            <w:vAlign w:val="center"/>
          </w:tcPr>
          <w:p>
            <w:pPr>
              <w:pStyle w:val="14"/>
            </w:pPr>
            <w:r>
              <w:t>20万元</w:t>
            </w:r>
          </w:p>
        </w:tc>
        <w:tc>
          <w:tcPr>
            <w:tcW w:w="2268" w:type="dxa"/>
            <w:vAlign w:val="center"/>
          </w:tcPr>
          <w:p>
            <w:pPr>
              <w:pStyle w:val="14"/>
            </w:pPr>
            <w:r>
              <w:t>合同、预算安排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群众问题处理率</w:t>
            </w:r>
          </w:p>
        </w:tc>
        <w:tc>
          <w:tcPr>
            <w:tcW w:w="2835" w:type="dxa"/>
            <w:vAlign w:val="center"/>
          </w:tcPr>
          <w:p>
            <w:pPr>
              <w:pStyle w:val="14"/>
            </w:pPr>
            <w:r>
              <w:t>解决群众反映问题与全部群众反映问题数的比例</w:t>
            </w:r>
          </w:p>
        </w:tc>
        <w:tc>
          <w:tcPr>
            <w:tcW w:w="2551" w:type="dxa"/>
            <w:vAlign w:val="center"/>
          </w:tcPr>
          <w:p>
            <w:pPr>
              <w:pStyle w:val="14"/>
            </w:pPr>
            <w:r>
              <w:t>≥90%</w:t>
            </w:r>
          </w:p>
        </w:tc>
        <w:tc>
          <w:tcPr>
            <w:tcW w:w="2268" w:type="dxa"/>
            <w:vAlign w:val="center"/>
          </w:tcPr>
          <w:p>
            <w:pPr>
              <w:pStyle w:val="14"/>
            </w:pPr>
            <w:r>
              <w:t>社区台账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综合满意度</w:t>
            </w:r>
          </w:p>
        </w:tc>
        <w:tc>
          <w:tcPr>
            <w:tcW w:w="2835" w:type="dxa"/>
            <w:vAlign w:val="center"/>
          </w:tcPr>
          <w:p>
            <w:pPr>
              <w:pStyle w:val="14"/>
            </w:pPr>
            <w:r>
              <w:t>居民满意度</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7、社区工作经费绩效目标表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rPr>
                <w:lang w:eastAsia="zh-CN"/>
              </w:rPr>
            </w:pPr>
            <w:r>
              <w:t>1.通过项目的开展完成11个社区日常工作需求、为居民提供服务，实现提高正常工作开展率、居委会满意度的目标。</w:t>
            </w:r>
            <w:r>
              <w:tab/>
            </w:r>
            <w:r>
              <w:tab/>
            </w:r>
            <w:r>
              <w:tab/>
            </w:r>
          </w:p>
          <w:p>
            <w:pPr>
              <w:pStyle w:val="14"/>
            </w:pPr>
            <w:r>
              <w:t>2.通过项目的开展完成11个社区日常工作需求、为居民提供服务，实现提高正常工作开展率、居委会满意度的目标。</w:t>
            </w:r>
            <w:r>
              <w:tab/>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社区数量</w:t>
            </w:r>
          </w:p>
        </w:tc>
        <w:tc>
          <w:tcPr>
            <w:tcW w:w="2835" w:type="dxa"/>
            <w:vAlign w:val="center"/>
          </w:tcPr>
          <w:p>
            <w:pPr>
              <w:pStyle w:val="14"/>
            </w:pPr>
            <w:r>
              <w:t>用于居委会的日常办公费用涉及社区数量</w:t>
            </w:r>
          </w:p>
        </w:tc>
        <w:tc>
          <w:tcPr>
            <w:tcW w:w="2551" w:type="dxa"/>
            <w:vAlign w:val="center"/>
          </w:tcPr>
          <w:p>
            <w:pPr>
              <w:pStyle w:val="14"/>
            </w:pPr>
            <w:r>
              <w:t>13个</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社区覆盖率</w:t>
            </w:r>
          </w:p>
        </w:tc>
        <w:tc>
          <w:tcPr>
            <w:tcW w:w="2835" w:type="dxa"/>
            <w:vAlign w:val="center"/>
          </w:tcPr>
          <w:p>
            <w:pPr>
              <w:pStyle w:val="14"/>
            </w:pPr>
            <w:r>
              <w:t>用于居委会的日常办公费用涉及社区数量与总社区数量的比例</w:t>
            </w:r>
          </w:p>
        </w:tc>
        <w:tc>
          <w:tcPr>
            <w:tcW w:w="2551" w:type="dxa"/>
            <w:vAlign w:val="center"/>
          </w:tcPr>
          <w:p>
            <w:pPr>
              <w:pStyle w:val="14"/>
            </w:pPr>
            <w:r>
              <w:t>100%</w:t>
            </w:r>
          </w:p>
        </w:tc>
        <w:tc>
          <w:tcPr>
            <w:tcW w:w="2268" w:type="dxa"/>
            <w:vAlign w:val="center"/>
          </w:tcPr>
          <w:p>
            <w:pPr>
              <w:pStyle w:val="14"/>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报销及时性</w:t>
            </w:r>
          </w:p>
        </w:tc>
        <w:tc>
          <w:tcPr>
            <w:tcW w:w="2835" w:type="dxa"/>
            <w:vAlign w:val="center"/>
          </w:tcPr>
          <w:p>
            <w:pPr>
              <w:pStyle w:val="14"/>
            </w:pPr>
            <w:r>
              <w:t>在文件的规定时间内完成报销</w:t>
            </w:r>
          </w:p>
        </w:tc>
        <w:tc>
          <w:tcPr>
            <w:tcW w:w="2551" w:type="dxa"/>
            <w:vAlign w:val="center"/>
          </w:tcPr>
          <w:p>
            <w:pPr>
              <w:pStyle w:val="14"/>
            </w:pPr>
            <w:r>
              <w:t>及时</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社区平均成本</w:t>
            </w:r>
          </w:p>
        </w:tc>
        <w:tc>
          <w:tcPr>
            <w:tcW w:w="2835" w:type="dxa"/>
            <w:vAlign w:val="center"/>
          </w:tcPr>
          <w:p>
            <w:pPr>
              <w:pStyle w:val="14"/>
            </w:pPr>
            <w:r>
              <w:t>用于每个社区的日常办公费用</w:t>
            </w:r>
          </w:p>
        </w:tc>
        <w:tc>
          <w:tcPr>
            <w:tcW w:w="2551" w:type="dxa"/>
            <w:vAlign w:val="center"/>
          </w:tcPr>
          <w:p>
            <w:pPr>
              <w:pStyle w:val="14"/>
            </w:pPr>
            <w:r>
              <w:t>10万元</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正常工作开展率</w:t>
            </w:r>
          </w:p>
        </w:tc>
        <w:tc>
          <w:tcPr>
            <w:tcW w:w="2835" w:type="dxa"/>
            <w:vAlign w:val="center"/>
          </w:tcPr>
          <w:p>
            <w:pPr>
              <w:pStyle w:val="14"/>
            </w:pPr>
            <w:r>
              <w:t>正常工作开展天数占总天数的比率</w:t>
            </w:r>
          </w:p>
        </w:tc>
        <w:tc>
          <w:tcPr>
            <w:tcW w:w="2551" w:type="dxa"/>
            <w:vAlign w:val="center"/>
          </w:tcPr>
          <w:p>
            <w:pPr>
              <w:pStyle w:val="14"/>
            </w:pPr>
            <w:r>
              <w:t>≥90%</w:t>
            </w:r>
          </w:p>
        </w:tc>
        <w:tc>
          <w:tcPr>
            <w:tcW w:w="2268" w:type="dxa"/>
            <w:vAlign w:val="center"/>
          </w:tcPr>
          <w:p>
            <w:pPr>
              <w:pStyle w:val="14"/>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综合满意度</w:t>
            </w:r>
          </w:p>
        </w:tc>
        <w:tc>
          <w:tcPr>
            <w:tcW w:w="2835" w:type="dxa"/>
            <w:vAlign w:val="center"/>
          </w:tcPr>
          <w:p>
            <w:pPr>
              <w:pStyle w:val="14"/>
            </w:pPr>
            <w:r>
              <w:t>居民满意度</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8、退役军人管理服务站经费绩效目标表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rPr>
                <w:lang w:eastAsia="zh-CN"/>
              </w:rPr>
            </w:pPr>
            <w:r>
              <w:t>1.通过安装上墙展牌、印发宣传资料、购买活动用品进行走访慰问等工作的开展，实现降低退役军人反映问题的比率、提高工作人员满意度的目标。</w:t>
            </w:r>
            <w:r>
              <w:tab/>
            </w:r>
          </w:p>
          <w:p>
            <w:pPr>
              <w:pStyle w:val="14"/>
            </w:pPr>
            <w:r>
              <w:t>2.通过安装上墙展牌、印发宣传资料、购买活动用品进行走访慰问等工作的开展，实现降低退役军人反映问题的比率、提高工作人员满意度的目标。</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宣传资料数量</w:t>
            </w:r>
          </w:p>
        </w:tc>
        <w:tc>
          <w:tcPr>
            <w:tcW w:w="2835" w:type="dxa"/>
            <w:vAlign w:val="center"/>
          </w:tcPr>
          <w:p>
            <w:pPr>
              <w:pStyle w:val="14"/>
            </w:pPr>
            <w:r>
              <w:t>宣传资料数量</w:t>
            </w:r>
          </w:p>
        </w:tc>
        <w:tc>
          <w:tcPr>
            <w:tcW w:w="2551" w:type="dxa"/>
            <w:vAlign w:val="center"/>
          </w:tcPr>
          <w:p>
            <w:pPr>
              <w:pStyle w:val="14"/>
            </w:pPr>
            <w:r>
              <w:t>≥400个</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购买活动用品数量</w:t>
            </w:r>
          </w:p>
        </w:tc>
        <w:tc>
          <w:tcPr>
            <w:tcW w:w="2835" w:type="dxa"/>
            <w:vAlign w:val="center"/>
          </w:tcPr>
          <w:p>
            <w:pPr>
              <w:pStyle w:val="14"/>
            </w:pPr>
            <w:r>
              <w:t>购买活动用品数量</w:t>
            </w:r>
          </w:p>
        </w:tc>
        <w:tc>
          <w:tcPr>
            <w:tcW w:w="2551" w:type="dxa"/>
            <w:vAlign w:val="center"/>
          </w:tcPr>
          <w:p>
            <w:pPr>
              <w:pStyle w:val="14"/>
            </w:pPr>
            <w:r>
              <w:t>≥50个</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展牌数量</w:t>
            </w:r>
          </w:p>
        </w:tc>
        <w:tc>
          <w:tcPr>
            <w:tcW w:w="2835" w:type="dxa"/>
            <w:vAlign w:val="center"/>
          </w:tcPr>
          <w:p>
            <w:pPr>
              <w:pStyle w:val="14"/>
            </w:pPr>
            <w:r>
              <w:t>新建标杆型服务站展牌数量</w:t>
            </w:r>
          </w:p>
        </w:tc>
        <w:tc>
          <w:tcPr>
            <w:tcW w:w="2551" w:type="dxa"/>
            <w:vAlign w:val="center"/>
          </w:tcPr>
          <w:p>
            <w:pPr>
              <w:pStyle w:val="14"/>
            </w:pPr>
            <w:r>
              <w:t>≥20个</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物品合格率</w:t>
            </w:r>
          </w:p>
        </w:tc>
        <w:tc>
          <w:tcPr>
            <w:tcW w:w="2835" w:type="dxa"/>
            <w:vAlign w:val="center"/>
          </w:tcPr>
          <w:p>
            <w:pPr>
              <w:pStyle w:val="14"/>
            </w:pPr>
            <w:r>
              <w:t>活动物品通过验收的数量与总数量的比例</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宣传覆盖率</w:t>
            </w:r>
          </w:p>
        </w:tc>
        <w:tc>
          <w:tcPr>
            <w:tcW w:w="2835" w:type="dxa"/>
            <w:vAlign w:val="center"/>
          </w:tcPr>
          <w:p>
            <w:pPr>
              <w:pStyle w:val="14"/>
            </w:pPr>
            <w:r>
              <w:t>宣传的范围与应宣传范围的比例</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工作完成及时性</w:t>
            </w:r>
          </w:p>
        </w:tc>
        <w:tc>
          <w:tcPr>
            <w:tcW w:w="2835" w:type="dxa"/>
            <w:vAlign w:val="center"/>
          </w:tcPr>
          <w:p>
            <w:pPr>
              <w:pStyle w:val="14"/>
            </w:pPr>
            <w:r>
              <w:t>在规定时间内完成工作</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宣传资料单位成本</w:t>
            </w:r>
          </w:p>
        </w:tc>
        <w:tc>
          <w:tcPr>
            <w:tcW w:w="2835" w:type="dxa"/>
            <w:vAlign w:val="center"/>
          </w:tcPr>
          <w:p>
            <w:pPr>
              <w:pStyle w:val="14"/>
            </w:pPr>
            <w:r>
              <w:t>宣传资料单位成本</w:t>
            </w:r>
          </w:p>
        </w:tc>
        <w:tc>
          <w:tcPr>
            <w:tcW w:w="2551" w:type="dxa"/>
            <w:vAlign w:val="center"/>
          </w:tcPr>
          <w:p>
            <w:pPr>
              <w:pStyle w:val="14"/>
            </w:pPr>
            <w:r>
              <w:t>≤5元</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购买活动用品成本</w:t>
            </w:r>
          </w:p>
        </w:tc>
        <w:tc>
          <w:tcPr>
            <w:tcW w:w="2835" w:type="dxa"/>
            <w:vAlign w:val="center"/>
          </w:tcPr>
          <w:p>
            <w:pPr>
              <w:pStyle w:val="14"/>
            </w:pPr>
            <w:r>
              <w:t>购买活动用品成本</w:t>
            </w:r>
          </w:p>
        </w:tc>
        <w:tc>
          <w:tcPr>
            <w:tcW w:w="2551" w:type="dxa"/>
            <w:vAlign w:val="center"/>
          </w:tcPr>
          <w:p>
            <w:pPr>
              <w:pStyle w:val="14"/>
            </w:pPr>
            <w:r>
              <w:t>≤60元</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展牌数量单位成本</w:t>
            </w:r>
          </w:p>
        </w:tc>
        <w:tc>
          <w:tcPr>
            <w:tcW w:w="2835" w:type="dxa"/>
            <w:vAlign w:val="center"/>
          </w:tcPr>
          <w:p>
            <w:pPr>
              <w:pStyle w:val="14"/>
            </w:pPr>
            <w:r>
              <w:t>展牌数量单位成本</w:t>
            </w:r>
          </w:p>
        </w:tc>
        <w:tc>
          <w:tcPr>
            <w:tcW w:w="2551" w:type="dxa"/>
            <w:vAlign w:val="center"/>
          </w:tcPr>
          <w:p>
            <w:pPr>
              <w:pStyle w:val="14"/>
            </w:pPr>
            <w:r>
              <w:t>≤250元</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降低退役军人反映问题率</w:t>
            </w:r>
          </w:p>
        </w:tc>
        <w:tc>
          <w:tcPr>
            <w:tcW w:w="2835" w:type="dxa"/>
            <w:vAlign w:val="center"/>
          </w:tcPr>
          <w:p>
            <w:pPr>
              <w:pStyle w:val="14"/>
            </w:pPr>
            <w:r>
              <w:t>降低退役军人反映问题的比率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居民满意度</w:t>
            </w:r>
          </w:p>
        </w:tc>
        <w:tc>
          <w:tcPr>
            <w:tcW w:w="2835" w:type="dxa"/>
            <w:vAlign w:val="center"/>
          </w:tcPr>
          <w:p>
            <w:pPr>
              <w:pStyle w:val="14"/>
            </w:pPr>
            <w:r>
              <w:t>退役军人满意度</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9、维稳经费绩效目标表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rPr>
                <w:lang w:eastAsia="zh-CN"/>
              </w:rPr>
            </w:pPr>
            <w:r>
              <w:t>1.通过两会、冬奥会、二十大的安保工作，做好维稳工作，稳定社会环境，使人民生活更幸福，社会更和谐,实现大厂镇经济社会快速发展。</w:t>
            </w:r>
            <w:r>
              <w:tab/>
            </w:r>
          </w:p>
          <w:p>
            <w:pPr>
              <w:pStyle w:val="14"/>
            </w:pPr>
            <w:r>
              <w:t>2.通过两会、冬奥会、二十大的安保工作，做好维稳工作，稳定社会环境，使人民生活更幸福，社会更和谐,实现大厂镇经济社会快速发展。</w:t>
            </w:r>
            <w:r>
              <w:tab/>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项目数量</w:t>
            </w:r>
          </w:p>
        </w:tc>
        <w:tc>
          <w:tcPr>
            <w:tcW w:w="2835" w:type="dxa"/>
            <w:vAlign w:val="center"/>
          </w:tcPr>
          <w:p>
            <w:pPr>
              <w:pStyle w:val="14"/>
            </w:pPr>
            <w:r>
              <w:t>专项维稳项目数量</w:t>
            </w:r>
          </w:p>
        </w:tc>
        <w:tc>
          <w:tcPr>
            <w:tcW w:w="2551" w:type="dxa"/>
            <w:vAlign w:val="center"/>
          </w:tcPr>
          <w:p>
            <w:pPr>
              <w:pStyle w:val="14"/>
            </w:pPr>
            <w:r>
              <w:t>≥5个</w:t>
            </w:r>
          </w:p>
        </w:tc>
        <w:tc>
          <w:tcPr>
            <w:tcW w:w="2268" w:type="dxa"/>
            <w:vAlign w:val="center"/>
          </w:tcPr>
          <w:p>
            <w:pPr>
              <w:pStyle w:val="14"/>
            </w:pPr>
            <w:r>
              <w:t>根据历年工作经验及2022年工作计划所得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涉稳舆情处置率(%)</w:t>
            </w:r>
          </w:p>
        </w:tc>
        <w:tc>
          <w:tcPr>
            <w:tcW w:w="2835" w:type="dxa"/>
            <w:vAlign w:val="center"/>
          </w:tcPr>
          <w:p>
            <w:pPr>
              <w:pStyle w:val="14"/>
            </w:pPr>
            <w:r>
              <w:t>处置的涉稳舆情数占涉稳网络舆情总数的比率</w:t>
            </w:r>
          </w:p>
        </w:tc>
        <w:tc>
          <w:tcPr>
            <w:tcW w:w="2551" w:type="dxa"/>
            <w:vAlign w:val="center"/>
          </w:tcPr>
          <w:p>
            <w:pPr>
              <w:pStyle w:val="14"/>
            </w:pPr>
            <w:r>
              <w:t>100百分比</w:t>
            </w:r>
          </w:p>
        </w:tc>
        <w:tc>
          <w:tcPr>
            <w:tcW w:w="2268" w:type="dxa"/>
            <w:vAlign w:val="center"/>
          </w:tcPr>
          <w:p>
            <w:pPr>
              <w:pStyle w:val="14"/>
            </w:pPr>
            <w:r>
              <w:t>维稳工作的要求及完成标准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维稳工作时长</w:t>
            </w:r>
          </w:p>
        </w:tc>
        <w:tc>
          <w:tcPr>
            <w:tcW w:w="2835" w:type="dxa"/>
            <w:vAlign w:val="center"/>
          </w:tcPr>
          <w:p>
            <w:pPr>
              <w:pStyle w:val="14"/>
            </w:pPr>
            <w:r>
              <w:t>2022年1-12月</w:t>
            </w:r>
          </w:p>
        </w:tc>
        <w:tc>
          <w:tcPr>
            <w:tcW w:w="2551" w:type="dxa"/>
            <w:vAlign w:val="center"/>
          </w:tcPr>
          <w:p>
            <w:pPr>
              <w:pStyle w:val="14"/>
            </w:pPr>
            <w:r>
              <w:t>12月</w:t>
            </w:r>
          </w:p>
        </w:tc>
        <w:tc>
          <w:tcPr>
            <w:tcW w:w="2268" w:type="dxa"/>
            <w:vAlign w:val="center"/>
          </w:tcPr>
          <w:p>
            <w:pPr>
              <w:pStyle w:val="14"/>
            </w:pPr>
            <w:r>
              <w:t>根据历年工作经验及2021年工作计划所得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每日补贴成本控制率</w:t>
            </w:r>
          </w:p>
        </w:tc>
        <w:tc>
          <w:tcPr>
            <w:tcW w:w="2835" w:type="dxa"/>
            <w:vAlign w:val="center"/>
          </w:tcPr>
          <w:p>
            <w:pPr>
              <w:pStyle w:val="14"/>
            </w:pPr>
            <w:r>
              <w:t>每日补贴实际支出数符合相关规定的比率</w:t>
            </w:r>
          </w:p>
        </w:tc>
        <w:tc>
          <w:tcPr>
            <w:tcW w:w="2551" w:type="dxa"/>
            <w:vAlign w:val="center"/>
          </w:tcPr>
          <w:p>
            <w:pPr>
              <w:pStyle w:val="14"/>
            </w:pPr>
            <w:r>
              <w:t>100百分比</w:t>
            </w:r>
          </w:p>
        </w:tc>
        <w:tc>
          <w:tcPr>
            <w:tcW w:w="2268" w:type="dxa"/>
            <w:vAlign w:val="center"/>
          </w:tcPr>
          <w:p>
            <w:pPr>
              <w:pStyle w:val="14"/>
            </w:pPr>
            <w:r>
              <w:t>19、20、21三年测算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重大活动突发事件发生率</w:t>
            </w:r>
          </w:p>
        </w:tc>
        <w:tc>
          <w:tcPr>
            <w:tcW w:w="2835" w:type="dxa"/>
            <w:vAlign w:val="center"/>
          </w:tcPr>
          <w:p>
            <w:pPr>
              <w:pStyle w:val="14"/>
            </w:pPr>
            <w:r>
              <w:t>发生突发事件的重大活动数量占全部重大活动的比率（反向指标）</w:t>
            </w:r>
          </w:p>
        </w:tc>
        <w:tc>
          <w:tcPr>
            <w:tcW w:w="2551" w:type="dxa"/>
            <w:vAlign w:val="center"/>
          </w:tcPr>
          <w:p>
            <w:pPr>
              <w:pStyle w:val="14"/>
            </w:pPr>
            <w:r>
              <w:t>&lt;1百分比</w:t>
            </w:r>
          </w:p>
        </w:tc>
        <w:tc>
          <w:tcPr>
            <w:tcW w:w="2268" w:type="dxa"/>
            <w:vAlign w:val="center"/>
          </w:tcPr>
          <w:p>
            <w:pPr>
              <w:pStyle w:val="14"/>
            </w:pPr>
            <w:r>
              <w:t>维稳工作的要求及完成标准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公众安全感指数</w:t>
            </w:r>
          </w:p>
        </w:tc>
        <w:tc>
          <w:tcPr>
            <w:tcW w:w="2835" w:type="dxa"/>
            <w:vAlign w:val="center"/>
          </w:tcPr>
          <w:p>
            <w:pPr>
              <w:pStyle w:val="14"/>
            </w:pPr>
            <w:r>
              <w:t>对治安管理满意的人数占调查总人数的比率</w:t>
            </w:r>
          </w:p>
        </w:tc>
        <w:tc>
          <w:tcPr>
            <w:tcW w:w="2551" w:type="dxa"/>
            <w:vAlign w:val="center"/>
          </w:tcPr>
          <w:p>
            <w:pPr>
              <w:pStyle w:val="14"/>
            </w:pPr>
            <w:r>
              <w:t>≥90百分比</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10、武装部工作经费绩效目标表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rPr>
                <w:lang w:eastAsia="zh-CN"/>
              </w:rPr>
            </w:pPr>
            <w:r>
              <w:t>1.为认真贯彻落实县人武部武装部规范化建设、征兵工作和基层民兵整组工作的部署，开展本项目能够确保以上工作顺利有序进行，物资有保障。</w:t>
            </w:r>
            <w:r>
              <w:tab/>
            </w:r>
          </w:p>
          <w:p>
            <w:pPr>
              <w:pStyle w:val="14"/>
            </w:pPr>
            <w:r>
              <w:t>2.通过项目的开展完成社会保障支撑度、综合业务管理工作、实现征兵任务按计划完成、北辰街道民兵队伍素质过硬的目标。</w:t>
            </w:r>
            <w:r>
              <w:tab/>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征兵宣传单页</w:t>
            </w:r>
          </w:p>
        </w:tc>
        <w:tc>
          <w:tcPr>
            <w:tcW w:w="2835" w:type="dxa"/>
            <w:vAlign w:val="center"/>
          </w:tcPr>
          <w:p>
            <w:pPr>
              <w:pStyle w:val="14"/>
            </w:pPr>
            <w:r>
              <w:t>征兵宣传材料数量</w:t>
            </w:r>
          </w:p>
        </w:tc>
        <w:tc>
          <w:tcPr>
            <w:tcW w:w="2551" w:type="dxa"/>
            <w:vAlign w:val="center"/>
          </w:tcPr>
          <w:p>
            <w:pPr>
              <w:pStyle w:val="14"/>
            </w:pPr>
            <w:r>
              <w:t>≥2000个</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物料质量合格率</w:t>
            </w:r>
          </w:p>
        </w:tc>
        <w:tc>
          <w:tcPr>
            <w:tcW w:w="2835" w:type="dxa"/>
            <w:vAlign w:val="center"/>
          </w:tcPr>
          <w:p>
            <w:pPr>
              <w:pStyle w:val="14"/>
            </w:pPr>
            <w:r>
              <w:t>反映征兵宣传服装、宣传等物料验收合格率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2835" w:type="dxa"/>
            <w:vAlign w:val="center"/>
          </w:tcPr>
          <w:p>
            <w:pPr>
              <w:pStyle w:val="14"/>
            </w:pPr>
            <w:r>
              <w:t>实际支出时间</w:t>
            </w:r>
          </w:p>
        </w:tc>
        <w:tc>
          <w:tcPr>
            <w:tcW w:w="2551" w:type="dxa"/>
            <w:vAlign w:val="center"/>
          </w:tcPr>
          <w:p>
            <w:pPr>
              <w:pStyle w:val="14"/>
            </w:pPr>
            <w:r>
              <w:t>≤12月份</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资金预算控制</w:t>
            </w:r>
          </w:p>
        </w:tc>
        <w:tc>
          <w:tcPr>
            <w:tcW w:w="2835" w:type="dxa"/>
            <w:vAlign w:val="center"/>
          </w:tcPr>
          <w:p>
            <w:pPr>
              <w:pStyle w:val="14"/>
            </w:pPr>
            <w:r>
              <w:t>项目总支出控制在预算范围内</w:t>
            </w:r>
          </w:p>
        </w:tc>
        <w:tc>
          <w:tcPr>
            <w:tcW w:w="2551" w:type="dxa"/>
            <w:vAlign w:val="center"/>
          </w:tcPr>
          <w:p>
            <w:pPr>
              <w:pStyle w:val="14"/>
            </w:pPr>
            <w:r>
              <w:t>≤5万元</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宣传覆盖率</w:t>
            </w:r>
          </w:p>
        </w:tc>
        <w:tc>
          <w:tcPr>
            <w:tcW w:w="2835" w:type="dxa"/>
            <w:vAlign w:val="center"/>
          </w:tcPr>
          <w:p>
            <w:pPr>
              <w:pStyle w:val="14"/>
            </w:pPr>
            <w:r>
              <w:t>在活动小区进行宣传的覆盖率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居民对征兵宣传满意度</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11、新时代文明实践所经费绩效目标表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rPr>
                <w:lang w:eastAsia="zh-CN"/>
              </w:rPr>
            </w:pPr>
            <w:r>
              <w:t>1.根据宣传部相关工作要求，进一步完善新时代文明实践所建设，通过开展活动充分体现社会主义人文关怀、弘扬主旋律</w:t>
            </w:r>
            <w:r>
              <w:tab/>
            </w:r>
            <w:r>
              <w:tab/>
            </w:r>
            <w:r>
              <w:tab/>
            </w:r>
          </w:p>
          <w:p>
            <w:pPr>
              <w:pStyle w:val="14"/>
            </w:pPr>
            <w:r>
              <w:t>2.根据宣传部相关工作要求，进一步完善新时代文明实践所建设，通过开展不少于40次的活动，充分体现社会主义人文关怀、弘扬主旋律</w:t>
            </w:r>
            <w:r>
              <w:tab/>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活动次数</w:t>
            </w:r>
          </w:p>
        </w:tc>
        <w:tc>
          <w:tcPr>
            <w:tcW w:w="2835" w:type="dxa"/>
            <w:vAlign w:val="center"/>
          </w:tcPr>
          <w:p>
            <w:pPr>
              <w:pStyle w:val="14"/>
            </w:pPr>
            <w:r>
              <w:t>一年举办的活动次数</w:t>
            </w:r>
          </w:p>
        </w:tc>
        <w:tc>
          <w:tcPr>
            <w:tcW w:w="2551" w:type="dxa"/>
            <w:vAlign w:val="center"/>
          </w:tcPr>
          <w:p>
            <w:pPr>
              <w:pStyle w:val="14"/>
            </w:pPr>
            <w:r>
              <w:t>≥40次</w:t>
            </w:r>
          </w:p>
        </w:tc>
        <w:tc>
          <w:tcPr>
            <w:tcW w:w="2268" w:type="dxa"/>
            <w:vAlign w:val="center"/>
          </w:tcPr>
          <w:p>
            <w:pPr>
              <w:pStyle w:val="14"/>
            </w:pPr>
            <w:r>
              <w:t>上一年完成量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合格率</w:t>
            </w:r>
          </w:p>
        </w:tc>
        <w:tc>
          <w:tcPr>
            <w:tcW w:w="2835" w:type="dxa"/>
            <w:vAlign w:val="center"/>
          </w:tcPr>
          <w:p>
            <w:pPr>
              <w:pStyle w:val="14"/>
            </w:pPr>
            <w:r>
              <w:t>活动物品、宣传物料合格率</w:t>
            </w:r>
          </w:p>
        </w:tc>
        <w:tc>
          <w:tcPr>
            <w:tcW w:w="2551" w:type="dxa"/>
            <w:vAlign w:val="center"/>
          </w:tcPr>
          <w:p>
            <w:pPr>
              <w:pStyle w:val="14"/>
            </w:pPr>
            <w:r>
              <w:t>≥90%</w:t>
            </w:r>
          </w:p>
        </w:tc>
        <w:tc>
          <w:tcPr>
            <w:tcW w:w="2268" w:type="dxa"/>
            <w:vAlign w:val="center"/>
          </w:tcPr>
          <w:p>
            <w:pPr>
              <w:pStyle w:val="14"/>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完成及时性</w:t>
            </w:r>
          </w:p>
        </w:tc>
        <w:tc>
          <w:tcPr>
            <w:tcW w:w="2835" w:type="dxa"/>
            <w:vAlign w:val="center"/>
          </w:tcPr>
          <w:p>
            <w:pPr>
              <w:pStyle w:val="14"/>
            </w:pPr>
            <w:r>
              <w:t>按照工作部署及重要节日节点开展各项活动</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活动成本</w:t>
            </w:r>
          </w:p>
        </w:tc>
        <w:tc>
          <w:tcPr>
            <w:tcW w:w="2835" w:type="dxa"/>
            <w:vAlign w:val="center"/>
          </w:tcPr>
          <w:p>
            <w:pPr>
              <w:pStyle w:val="14"/>
            </w:pPr>
            <w:r>
              <w:t>平均开展每次活动所需费用</w:t>
            </w:r>
          </w:p>
        </w:tc>
        <w:tc>
          <w:tcPr>
            <w:tcW w:w="2551" w:type="dxa"/>
            <w:vAlign w:val="center"/>
          </w:tcPr>
          <w:p>
            <w:pPr>
              <w:pStyle w:val="14"/>
            </w:pPr>
            <w:r>
              <w:t>≤0.08万元</w:t>
            </w:r>
          </w:p>
        </w:tc>
        <w:tc>
          <w:tcPr>
            <w:tcW w:w="2268"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保障宣传效果</w:t>
            </w:r>
          </w:p>
        </w:tc>
        <w:tc>
          <w:tcPr>
            <w:tcW w:w="2835" w:type="dxa"/>
            <w:vAlign w:val="center"/>
          </w:tcPr>
          <w:p>
            <w:pPr>
              <w:pStyle w:val="14"/>
            </w:pPr>
            <w:r>
              <w:t>通过印制宣传资料、健康知识、免费培训宣传资料、开展活动，提升群众思想觉悟、道德水准</w:t>
            </w:r>
          </w:p>
        </w:tc>
        <w:tc>
          <w:tcPr>
            <w:tcW w:w="2551" w:type="dxa"/>
            <w:vAlign w:val="center"/>
          </w:tcPr>
          <w:p>
            <w:pPr>
              <w:pStyle w:val="14"/>
            </w:pPr>
            <w:r>
              <w:t>有效保障</w:t>
            </w:r>
          </w:p>
        </w:tc>
        <w:tc>
          <w:tcPr>
            <w:tcW w:w="2268" w:type="dxa"/>
            <w:vAlign w:val="center"/>
          </w:tcPr>
          <w:p>
            <w:pPr>
              <w:pStyle w:val="14"/>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群众满意度</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12、行政综合服务中心设备购置及办公经费绩效目标表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1.通过项目的开展保障行政综合服务中心的运行，为居民提供服务，提高工作效率、居民满意度</w:t>
            </w:r>
            <w:r>
              <w:tab/>
            </w:r>
            <w:r>
              <w:tab/>
            </w:r>
            <w:r>
              <w:tab/>
            </w:r>
            <w:r>
              <w:tab/>
            </w:r>
            <w:r>
              <w:tab/>
            </w:r>
            <w:r>
              <w:tab/>
            </w:r>
            <w:r>
              <w:tab/>
            </w:r>
            <w:r>
              <w:tab/>
            </w:r>
          </w:p>
          <w:p>
            <w:pPr>
              <w:pStyle w:val="14"/>
            </w:pPr>
            <w:r>
              <w:t>2.通过项目的开展保障行政综合服务中心的运行，为居民提供服务，提高工作效率、居民满意度</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办证数量</w:t>
            </w:r>
          </w:p>
        </w:tc>
        <w:tc>
          <w:tcPr>
            <w:tcW w:w="2835" w:type="dxa"/>
            <w:vAlign w:val="center"/>
          </w:tcPr>
          <w:p>
            <w:pPr>
              <w:pStyle w:val="14"/>
            </w:pPr>
            <w:r>
              <w:t>办理各种证件的数量</w:t>
            </w:r>
          </w:p>
        </w:tc>
        <w:tc>
          <w:tcPr>
            <w:tcW w:w="2551" w:type="dxa"/>
            <w:vAlign w:val="center"/>
          </w:tcPr>
          <w:p>
            <w:pPr>
              <w:pStyle w:val="14"/>
            </w:pPr>
            <w:r>
              <w:t>≥6000个</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办理证件合格率</w:t>
            </w:r>
          </w:p>
        </w:tc>
        <w:tc>
          <w:tcPr>
            <w:tcW w:w="2835" w:type="dxa"/>
            <w:vAlign w:val="center"/>
          </w:tcPr>
          <w:p>
            <w:pPr>
              <w:pStyle w:val="14"/>
            </w:pPr>
            <w:r>
              <w:t>办理证件合格的数量与全部数量的比例</w:t>
            </w:r>
          </w:p>
        </w:tc>
        <w:tc>
          <w:tcPr>
            <w:tcW w:w="2551" w:type="dxa"/>
            <w:vAlign w:val="center"/>
          </w:tcPr>
          <w:p>
            <w:pPr>
              <w:pStyle w:val="14"/>
            </w:pPr>
            <w:r>
              <w:t>≥90%</w:t>
            </w:r>
          </w:p>
        </w:tc>
        <w:tc>
          <w:tcPr>
            <w:tcW w:w="2268" w:type="dxa"/>
            <w:vAlign w:val="center"/>
          </w:tcPr>
          <w:p>
            <w:pPr>
              <w:pStyle w:val="14"/>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办证工作效率</w:t>
            </w:r>
          </w:p>
        </w:tc>
        <w:tc>
          <w:tcPr>
            <w:tcW w:w="2835" w:type="dxa"/>
            <w:vAlign w:val="center"/>
          </w:tcPr>
          <w:p>
            <w:pPr>
              <w:pStyle w:val="14"/>
            </w:pPr>
            <w:r>
              <w:t>行政综合服务中心各类证照的印制在规定时间内完成</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办证平均成本</w:t>
            </w:r>
          </w:p>
        </w:tc>
        <w:tc>
          <w:tcPr>
            <w:tcW w:w="2835" w:type="dxa"/>
            <w:vAlign w:val="center"/>
          </w:tcPr>
          <w:p>
            <w:pPr>
              <w:pStyle w:val="14"/>
            </w:pPr>
            <w:r>
              <w:t>每个证件的单位成本</w:t>
            </w:r>
          </w:p>
        </w:tc>
        <w:tc>
          <w:tcPr>
            <w:tcW w:w="2551" w:type="dxa"/>
            <w:vAlign w:val="center"/>
          </w:tcPr>
          <w:p>
            <w:pPr>
              <w:pStyle w:val="14"/>
            </w:pPr>
            <w:r>
              <w:t>≤8.5元</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提高工作效率</w:t>
            </w:r>
          </w:p>
        </w:tc>
        <w:tc>
          <w:tcPr>
            <w:tcW w:w="2835" w:type="dxa"/>
            <w:vAlign w:val="center"/>
          </w:tcPr>
          <w:p>
            <w:pPr>
              <w:pStyle w:val="14"/>
            </w:pPr>
            <w:r>
              <w:t>为居民提供服务，提高工作效率</w:t>
            </w:r>
          </w:p>
        </w:tc>
        <w:tc>
          <w:tcPr>
            <w:tcW w:w="2551" w:type="dxa"/>
            <w:vAlign w:val="center"/>
          </w:tcPr>
          <w:p>
            <w:pPr>
              <w:pStyle w:val="14"/>
            </w:pPr>
            <w:r>
              <w:t>提高</w:t>
            </w:r>
          </w:p>
        </w:tc>
        <w:tc>
          <w:tcPr>
            <w:tcW w:w="2268" w:type="dxa"/>
            <w:vAlign w:val="center"/>
          </w:tcPr>
          <w:p>
            <w:pPr>
              <w:pStyle w:val="14"/>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居民满意度</w:t>
            </w:r>
          </w:p>
        </w:tc>
        <w:tc>
          <w:tcPr>
            <w:tcW w:w="2835" w:type="dxa"/>
            <w:vAlign w:val="center"/>
          </w:tcPr>
          <w:p>
            <w:pPr>
              <w:pStyle w:val="14"/>
            </w:pPr>
            <w:r>
              <w:t>居民满意度</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13、2021年国有企业退休人员社会化管理省级财政补助资金绩效目标表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推动国有企业退休人员社会化管理工作开展，北辰街道共接收社区管理服务162人次，社会保障管理162人次，党员管理58人次，共计382人次。采购用于国有企业退休人员社会化管理的办公设备、办公用品，购置笔记本等学习用品</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人次</w:t>
            </w:r>
          </w:p>
        </w:tc>
        <w:tc>
          <w:tcPr>
            <w:tcW w:w="2835" w:type="dxa"/>
            <w:vAlign w:val="center"/>
          </w:tcPr>
          <w:p>
            <w:pPr>
              <w:pStyle w:val="14"/>
            </w:pPr>
            <w:r>
              <w:t>共接收国有企业退休人员社会化管理的人次</w:t>
            </w:r>
          </w:p>
        </w:tc>
        <w:tc>
          <w:tcPr>
            <w:tcW w:w="2551" w:type="dxa"/>
            <w:vAlign w:val="center"/>
          </w:tcPr>
          <w:p>
            <w:pPr>
              <w:pStyle w:val="14"/>
            </w:pPr>
            <w:r>
              <w:t>≥382人次</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预算标准</w:t>
            </w:r>
          </w:p>
        </w:tc>
        <w:tc>
          <w:tcPr>
            <w:tcW w:w="2835" w:type="dxa"/>
            <w:vAlign w:val="center"/>
          </w:tcPr>
          <w:p>
            <w:pPr>
              <w:pStyle w:val="14"/>
            </w:pPr>
            <w:r>
              <w:t>按照每人次平均分配编制预算金额</w:t>
            </w:r>
          </w:p>
        </w:tc>
        <w:tc>
          <w:tcPr>
            <w:tcW w:w="2551" w:type="dxa"/>
            <w:vAlign w:val="center"/>
          </w:tcPr>
          <w:p>
            <w:pPr>
              <w:pStyle w:val="14"/>
            </w:pPr>
            <w:r>
              <w:t>20.09元</w:t>
            </w:r>
          </w:p>
        </w:tc>
        <w:tc>
          <w:tcPr>
            <w:tcW w:w="2268"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实际完成项目的时间</w:t>
            </w:r>
          </w:p>
        </w:tc>
        <w:tc>
          <w:tcPr>
            <w:tcW w:w="2551" w:type="dxa"/>
            <w:vAlign w:val="center"/>
          </w:tcPr>
          <w:p>
            <w:pPr>
              <w:pStyle w:val="14"/>
            </w:pPr>
            <w:r>
              <w:t>≤12月份</w:t>
            </w:r>
          </w:p>
        </w:tc>
        <w:tc>
          <w:tcPr>
            <w:tcW w:w="2268"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实际需要的资金成本</w:t>
            </w:r>
          </w:p>
        </w:tc>
        <w:tc>
          <w:tcPr>
            <w:tcW w:w="2551" w:type="dxa"/>
            <w:vAlign w:val="center"/>
          </w:tcPr>
          <w:p>
            <w:pPr>
              <w:pStyle w:val="14"/>
            </w:pPr>
            <w:r>
              <w:t>≤1.07万元</w:t>
            </w:r>
          </w:p>
        </w:tc>
        <w:tc>
          <w:tcPr>
            <w:tcW w:w="2268" w:type="dxa"/>
            <w:vAlign w:val="center"/>
          </w:tcPr>
          <w:p>
            <w:pPr>
              <w:pStyle w:val="14"/>
            </w:pPr>
            <w: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社会化管理效果</w:t>
            </w:r>
          </w:p>
        </w:tc>
        <w:tc>
          <w:tcPr>
            <w:tcW w:w="2835" w:type="dxa"/>
            <w:vAlign w:val="center"/>
          </w:tcPr>
          <w:p>
            <w:pPr>
              <w:pStyle w:val="14"/>
            </w:pPr>
            <w:r>
              <w:t>使用补助资金进一步加强国有企业退休人员社会化管理效果</w:t>
            </w:r>
          </w:p>
        </w:tc>
        <w:tc>
          <w:tcPr>
            <w:tcW w:w="2551" w:type="dxa"/>
            <w:vAlign w:val="center"/>
          </w:tcPr>
          <w:p>
            <w:pPr>
              <w:pStyle w:val="14"/>
            </w:pPr>
            <w:r>
              <w:t>效果显著</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国有企业退休人员满意度</w:t>
            </w:r>
          </w:p>
        </w:tc>
        <w:tc>
          <w:tcPr>
            <w:tcW w:w="2835" w:type="dxa"/>
            <w:vAlign w:val="center"/>
          </w:tcPr>
          <w:p>
            <w:pPr>
              <w:pStyle w:val="14"/>
            </w:pPr>
            <w:r>
              <w:t>国有企业退休人员对社会化管理服务满意度</w:t>
            </w:r>
          </w:p>
        </w:tc>
        <w:tc>
          <w:tcPr>
            <w:tcW w:w="2551" w:type="dxa"/>
            <w:vAlign w:val="center"/>
          </w:tcPr>
          <w:p>
            <w:pPr>
              <w:pStyle w:val="14"/>
            </w:pPr>
            <w:r>
              <w:t>≥90百分比</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14、创城国检资金绩效目标表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1.按照全国文明城市创建和全国卫生城市创建的标准，通过项目的开展按质按量完成工程量，实现生活小区、社区面貌提升、居民满意的目标。</w:t>
            </w:r>
            <w:r>
              <w:tab/>
            </w:r>
            <w:r>
              <w:tab/>
            </w:r>
            <w:r>
              <w:tab/>
            </w:r>
            <w:r>
              <w:tab/>
            </w:r>
            <w:r>
              <w:tab/>
            </w:r>
            <w:r>
              <w:tab/>
            </w:r>
            <w:r>
              <w:tab/>
            </w:r>
            <w:r>
              <w:tab/>
            </w:r>
          </w:p>
          <w:p>
            <w:pPr>
              <w:pStyle w:val="14"/>
            </w:pPr>
            <w:r>
              <w:t>2.按照全国文明城市创建和全国卫生城市创建的标准，通过开展公益广告安装、公共基础设施修补、消防通道线施划扥等工作，实现生活小区、社区面貌提升、居民满意，促进全国文明县城的达标。</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创城工作完成率</w:t>
            </w:r>
          </w:p>
        </w:tc>
        <w:tc>
          <w:tcPr>
            <w:tcW w:w="2835" w:type="dxa"/>
            <w:vAlign w:val="center"/>
          </w:tcPr>
          <w:p>
            <w:pPr>
              <w:pStyle w:val="14"/>
            </w:pPr>
            <w:r>
              <w:t>实际完成的创城工作量与应完成的创城工作量的比例</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创城工作合格率</w:t>
            </w:r>
          </w:p>
        </w:tc>
        <w:tc>
          <w:tcPr>
            <w:tcW w:w="2835" w:type="dxa"/>
            <w:vAlign w:val="center"/>
          </w:tcPr>
          <w:p>
            <w:pPr>
              <w:pStyle w:val="14"/>
            </w:pPr>
            <w:r>
              <w:t>创城工作合格的工作量与总工作量的比例</w:t>
            </w:r>
          </w:p>
        </w:tc>
        <w:tc>
          <w:tcPr>
            <w:tcW w:w="2551" w:type="dxa"/>
            <w:vAlign w:val="center"/>
          </w:tcPr>
          <w:p>
            <w:pPr>
              <w:pStyle w:val="14"/>
            </w:pPr>
            <w:r>
              <w:t>100%</w:t>
            </w:r>
          </w:p>
        </w:tc>
        <w:tc>
          <w:tcPr>
            <w:tcW w:w="2268" w:type="dxa"/>
            <w:vAlign w:val="center"/>
          </w:tcPr>
          <w:p>
            <w:pPr>
              <w:pStyle w:val="14"/>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创城工作完成及时性</w:t>
            </w:r>
          </w:p>
        </w:tc>
        <w:tc>
          <w:tcPr>
            <w:tcW w:w="2835" w:type="dxa"/>
            <w:vAlign w:val="center"/>
          </w:tcPr>
          <w:p>
            <w:pPr>
              <w:pStyle w:val="14"/>
            </w:pPr>
            <w:r>
              <w:t>创城工作在规定时间内完成</w:t>
            </w:r>
          </w:p>
        </w:tc>
        <w:tc>
          <w:tcPr>
            <w:tcW w:w="2551" w:type="dxa"/>
            <w:vAlign w:val="center"/>
          </w:tcPr>
          <w:p>
            <w:pPr>
              <w:pStyle w:val="14"/>
            </w:pPr>
            <w:r>
              <w:t>及时</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公共基础设施修补成本</w:t>
            </w:r>
          </w:p>
        </w:tc>
        <w:tc>
          <w:tcPr>
            <w:tcW w:w="2835" w:type="dxa"/>
            <w:vAlign w:val="center"/>
          </w:tcPr>
          <w:p>
            <w:pPr>
              <w:pStyle w:val="14"/>
            </w:pPr>
            <w:r>
              <w:t>公共基础设施修补成本</w:t>
            </w:r>
          </w:p>
        </w:tc>
        <w:tc>
          <w:tcPr>
            <w:tcW w:w="2551" w:type="dxa"/>
            <w:vAlign w:val="center"/>
          </w:tcPr>
          <w:p>
            <w:pPr>
              <w:pStyle w:val="14"/>
            </w:pPr>
            <w:r>
              <w:t>55.17万元</w:t>
            </w:r>
          </w:p>
        </w:tc>
        <w:tc>
          <w:tcPr>
            <w:tcW w:w="2268" w:type="dxa"/>
            <w:vAlign w:val="center"/>
          </w:tcPr>
          <w:p>
            <w:pPr>
              <w:pStyle w:val="14"/>
            </w:pPr>
            <w:r>
              <w:t>结算审计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消防通道线施划成本</w:t>
            </w:r>
          </w:p>
        </w:tc>
        <w:tc>
          <w:tcPr>
            <w:tcW w:w="2835" w:type="dxa"/>
            <w:vAlign w:val="center"/>
          </w:tcPr>
          <w:p>
            <w:pPr>
              <w:pStyle w:val="14"/>
            </w:pPr>
            <w:r>
              <w:t>消防通道线施划成本</w:t>
            </w:r>
          </w:p>
        </w:tc>
        <w:tc>
          <w:tcPr>
            <w:tcW w:w="2551" w:type="dxa"/>
            <w:vAlign w:val="center"/>
          </w:tcPr>
          <w:p>
            <w:pPr>
              <w:pStyle w:val="14"/>
            </w:pPr>
            <w:r>
              <w:t>9.3万元</w:t>
            </w:r>
          </w:p>
        </w:tc>
        <w:tc>
          <w:tcPr>
            <w:tcW w:w="2268" w:type="dxa"/>
            <w:vAlign w:val="center"/>
          </w:tcPr>
          <w:p>
            <w:pPr>
              <w:pStyle w:val="14"/>
            </w:pPr>
            <w:r>
              <w:t>结算审计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小区保洁、检修成本</w:t>
            </w:r>
          </w:p>
        </w:tc>
        <w:tc>
          <w:tcPr>
            <w:tcW w:w="2835" w:type="dxa"/>
            <w:vAlign w:val="center"/>
          </w:tcPr>
          <w:p>
            <w:pPr>
              <w:pStyle w:val="14"/>
            </w:pPr>
            <w:r>
              <w:t>小区保洁、检修成本</w:t>
            </w:r>
          </w:p>
        </w:tc>
        <w:tc>
          <w:tcPr>
            <w:tcW w:w="2551" w:type="dxa"/>
            <w:vAlign w:val="center"/>
          </w:tcPr>
          <w:p>
            <w:pPr>
              <w:pStyle w:val="14"/>
            </w:pPr>
            <w:r>
              <w:t>89.82万元</w:t>
            </w:r>
          </w:p>
        </w:tc>
        <w:tc>
          <w:tcPr>
            <w:tcW w:w="2268" w:type="dxa"/>
            <w:vAlign w:val="center"/>
          </w:tcPr>
          <w:p>
            <w:pPr>
              <w:pStyle w:val="14"/>
            </w:pPr>
            <w:r>
              <w:t>结算审计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公益广告成本</w:t>
            </w:r>
          </w:p>
        </w:tc>
        <w:tc>
          <w:tcPr>
            <w:tcW w:w="2835" w:type="dxa"/>
            <w:vAlign w:val="center"/>
          </w:tcPr>
          <w:p>
            <w:pPr>
              <w:pStyle w:val="14"/>
            </w:pPr>
            <w:r>
              <w:t>公益广告成本</w:t>
            </w:r>
          </w:p>
        </w:tc>
        <w:tc>
          <w:tcPr>
            <w:tcW w:w="2551" w:type="dxa"/>
            <w:vAlign w:val="center"/>
          </w:tcPr>
          <w:p>
            <w:pPr>
              <w:pStyle w:val="14"/>
            </w:pPr>
            <w:r>
              <w:t>36.56万元</w:t>
            </w:r>
          </w:p>
        </w:tc>
        <w:tc>
          <w:tcPr>
            <w:tcW w:w="2268" w:type="dxa"/>
            <w:vAlign w:val="center"/>
          </w:tcPr>
          <w:p>
            <w:pPr>
              <w:pStyle w:val="14"/>
            </w:pPr>
            <w:r>
              <w:t>结算审计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促进全国文明县城达标</w:t>
            </w:r>
          </w:p>
        </w:tc>
        <w:tc>
          <w:tcPr>
            <w:tcW w:w="2835" w:type="dxa"/>
            <w:vAlign w:val="center"/>
          </w:tcPr>
          <w:p>
            <w:pPr>
              <w:pStyle w:val="14"/>
            </w:pPr>
            <w:r>
              <w:t>反映创城办交办及督办单开展各项工作，确保达到创建全国文明县城标准</w:t>
            </w:r>
          </w:p>
        </w:tc>
        <w:tc>
          <w:tcPr>
            <w:tcW w:w="2551" w:type="dxa"/>
            <w:vAlign w:val="center"/>
          </w:tcPr>
          <w:p>
            <w:pPr>
              <w:pStyle w:val="14"/>
            </w:pPr>
            <w:r>
              <w:t>有效促进</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居民满意度</w:t>
            </w:r>
          </w:p>
        </w:tc>
        <w:tc>
          <w:tcPr>
            <w:tcW w:w="2835" w:type="dxa"/>
            <w:vAlign w:val="center"/>
          </w:tcPr>
          <w:p>
            <w:pPr>
              <w:pStyle w:val="14"/>
            </w:pPr>
            <w:r>
              <w:t>居住环境明显提升，居民满意率高</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15、档案室改造提升及档案数字化资金绩效目标表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1.通过项目的开展实现档案室建设符合档案管理标准，确保档案存放有序、安全等，使档案管理工作规范有序，提高治理水平和管理效率，提高治理水平，保护单位和个人合法权益、维护机关历史真实面貌。</w:t>
            </w:r>
            <w:r>
              <w:tab/>
            </w:r>
            <w:r>
              <w:tab/>
            </w:r>
            <w:r>
              <w:tab/>
            </w:r>
            <w:r>
              <w:tab/>
            </w:r>
            <w:r>
              <w:tab/>
            </w:r>
            <w:r>
              <w:tab/>
            </w:r>
            <w:r>
              <w:tab/>
            </w:r>
            <w:r>
              <w:tab/>
            </w:r>
          </w:p>
          <w:p>
            <w:pPr>
              <w:pStyle w:val="14"/>
            </w:pPr>
            <w:r>
              <w:t>2.通过项目的开展完成档案室建设达标，实现档案数字化、存放有序、安全，达到3A级档案室。</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档案室修缮面积</w:t>
            </w:r>
          </w:p>
        </w:tc>
        <w:tc>
          <w:tcPr>
            <w:tcW w:w="2835" w:type="dxa"/>
            <w:vAlign w:val="center"/>
          </w:tcPr>
          <w:p>
            <w:pPr>
              <w:pStyle w:val="14"/>
            </w:pPr>
            <w:r>
              <w:t>反映档案室修缮面积数量</w:t>
            </w:r>
          </w:p>
        </w:tc>
        <w:tc>
          <w:tcPr>
            <w:tcW w:w="2551" w:type="dxa"/>
            <w:vAlign w:val="center"/>
          </w:tcPr>
          <w:p>
            <w:pPr>
              <w:pStyle w:val="14"/>
            </w:pPr>
            <w:r>
              <w:t>≤50平米</w:t>
            </w:r>
          </w:p>
        </w:tc>
        <w:tc>
          <w:tcPr>
            <w:tcW w:w="2268"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档案信息化基础设施</w:t>
            </w:r>
          </w:p>
        </w:tc>
        <w:tc>
          <w:tcPr>
            <w:tcW w:w="2835" w:type="dxa"/>
            <w:vAlign w:val="center"/>
          </w:tcPr>
          <w:p>
            <w:pPr>
              <w:pStyle w:val="14"/>
            </w:pPr>
            <w:r>
              <w:t>反映信息化基础设施的采建类别</w:t>
            </w:r>
          </w:p>
        </w:tc>
        <w:tc>
          <w:tcPr>
            <w:tcW w:w="2551" w:type="dxa"/>
            <w:vAlign w:val="center"/>
          </w:tcPr>
          <w:p>
            <w:pPr>
              <w:pStyle w:val="14"/>
            </w:pPr>
            <w:r>
              <w:t>≥9类</w:t>
            </w:r>
          </w:p>
        </w:tc>
        <w:tc>
          <w:tcPr>
            <w:tcW w:w="2268"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档案管理标准达标率</w:t>
            </w:r>
          </w:p>
        </w:tc>
        <w:tc>
          <w:tcPr>
            <w:tcW w:w="2835" w:type="dxa"/>
            <w:vAlign w:val="center"/>
          </w:tcPr>
          <w:p>
            <w:pPr>
              <w:pStyle w:val="14"/>
            </w:pPr>
            <w:r>
              <w:t>反映档案室修缮改造的达标情况</w:t>
            </w:r>
          </w:p>
        </w:tc>
        <w:tc>
          <w:tcPr>
            <w:tcW w:w="2551" w:type="dxa"/>
            <w:vAlign w:val="center"/>
          </w:tcPr>
          <w:p>
            <w:pPr>
              <w:pStyle w:val="14"/>
            </w:pPr>
            <w:r>
              <w:t>≥90%</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实际完成时间</w:t>
            </w:r>
          </w:p>
        </w:tc>
        <w:tc>
          <w:tcPr>
            <w:tcW w:w="2551" w:type="dxa"/>
            <w:vAlign w:val="center"/>
          </w:tcPr>
          <w:p>
            <w:pPr>
              <w:pStyle w:val="14"/>
            </w:pPr>
            <w:r>
              <w:t>≤10个月</w:t>
            </w:r>
          </w:p>
        </w:tc>
        <w:tc>
          <w:tcPr>
            <w:tcW w:w="2268"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2835" w:type="dxa"/>
            <w:vAlign w:val="center"/>
          </w:tcPr>
          <w:p>
            <w:pPr>
              <w:pStyle w:val="14"/>
            </w:pPr>
            <w:r>
              <w:t>反映项目成本的控制情况</w:t>
            </w:r>
          </w:p>
        </w:tc>
        <w:tc>
          <w:tcPr>
            <w:tcW w:w="2551" w:type="dxa"/>
            <w:vAlign w:val="center"/>
          </w:tcPr>
          <w:p>
            <w:pPr>
              <w:pStyle w:val="14"/>
            </w:pPr>
            <w:r>
              <w:t>≤100%</w:t>
            </w:r>
          </w:p>
        </w:tc>
        <w:tc>
          <w:tcPr>
            <w:tcW w:w="2268" w:type="dxa"/>
            <w:vAlign w:val="center"/>
          </w:tcPr>
          <w:p>
            <w:pPr>
              <w:pStyle w:val="14"/>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促进档案管理考核达标</w:t>
            </w:r>
          </w:p>
        </w:tc>
        <w:tc>
          <w:tcPr>
            <w:tcW w:w="2835" w:type="dxa"/>
            <w:vAlign w:val="center"/>
          </w:tcPr>
          <w:p>
            <w:pPr>
              <w:pStyle w:val="14"/>
            </w:pPr>
            <w:r>
              <w:t>反映接受上级考核的情况</w:t>
            </w:r>
          </w:p>
        </w:tc>
        <w:tc>
          <w:tcPr>
            <w:tcW w:w="2551" w:type="dxa"/>
            <w:vAlign w:val="center"/>
          </w:tcPr>
          <w:p>
            <w:pPr>
              <w:pStyle w:val="14"/>
            </w:pPr>
            <w:r>
              <w:t>≥90%</w:t>
            </w:r>
          </w:p>
        </w:tc>
        <w:tc>
          <w:tcPr>
            <w:tcW w:w="2268" w:type="dxa"/>
            <w:vAlign w:val="center"/>
          </w:tcPr>
          <w:p>
            <w:pPr>
              <w:pStyle w:val="14"/>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机关单位工作人员满意度</w:t>
            </w:r>
          </w:p>
        </w:tc>
        <w:tc>
          <w:tcPr>
            <w:tcW w:w="2835" w:type="dxa"/>
            <w:vAlign w:val="center"/>
          </w:tcPr>
          <w:p>
            <w:pPr>
              <w:pStyle w:val="14"/>
            </w:pPr>
            <w:r>
              <w:t>反映机关单位工作人员满意度情况</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16、计生小组长补贴经费绩效目标表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1.通过项目的开展按时按量的发放计生小组长补贴，实现提高计生知识覆盖率、计生小组长满意的目标。</w:t>
            </w:r>
          </w:p>
          <w:p>
            <w:pPr>
              <w:pStyle w:val="14"/>
            </w:pPr>
            <w:r>
              <w:t>2.通过项目的开展按时按量的发放计生小组长补贴，实现提高计生知识覆盖率、计生小组长满意的目标。</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计生小组长人数</w:t>
            </w:r>
          </w:p>
        </w:tc>
        <w:tc>
          <w:tcPr>
            <w:tcW w:w="2835" w:type="dxa"/>
            <w:vAlign w:val="center"/>
          </w:tcPr>
          <w:p>
            <w:pPr>
              <w:pStyle w:val="14"/>
            </w:pPr>
            <w:r>
              <w:t>按照每50-100名育龄妇女设置1名计生小组长的标准</w:t>
            </w:r>
          </w:p>
        </w:tc>
        <w:tc>
          <w:tcPr>
            <w:tcW w:w="2551" w:type="dxa"/>
            <w:vAlign w:val="center"/>
          </w:tcPr>
          <w:p>
            <w:pPr>
              <w:pStyle w:val="14"/>
            </w:pPr>
            <w:r>
              <w:t>117名</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补贴覆盖率</w:t>
            </w:r>
          </w:p>
        </w:tc>
        <w:tc>
          <w:tcPr>
            <w:tcW w:w="2835" w:type="dxa"/>
            <w:vAlign w:val="center"/>
          </w:tcPr>
          <w:p>
            <w:pPr>
              <w:pStyle w:val="14"/>
            </w:pPr>
            <w:r>
              <w:t>依据文件要求，按照100元/人/月的标准补贴人员占发放人员总数的比率</w:t>
            </w:r>
          </w:p>
        </w:tc>
        <w:tc>
          <w:tcPr>
            <w:tcW w:w="2551" w:type="dxa"/>
            <w:vAlign w:val="center"/>
          </w:tcPr>
          <w:p>
            <w:pPr>
              <w:pStyle w:val="14"/>
            </w:pPr>
            <w:r>
              <w:t>100%</w:t>
            </w:r>
          </w:p>
        </w:tc>
        <w:tc>
          <w:tcPr>
            <w:tcW w:w="2268" w:type="dxa"/>
            <w:vAlign w:val="center"/>
          </w:tcPr>
          <w:p>
            <w:pPr>
              <w:pStyle w:val="14"/>
            </w:pPr>
            <w:r>
              <w:t>中共大厂回族自治县委大厂回族自治县人民政府《关于加强和改进社区居民委员会建设工作的意见》大发[2012]24号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补贴发放及时性</w:t>
            </w:r>
          </w:p>
        </w:tc>
        <w:tc>
          <w:tcPr>
            <w:tcW w:w="2835" w:type="dxa"/>
            <w:vAlign w:val="center"/>
          </w:tcPr>
          <w:p>
            <w:pPr>
              <w:pStyle w:val="14"/>
            </w:pPr>
            <w:r>
              <w:t>每月按时发放补贴</w:t>
            </w:r>
          </w:p>
        </w:tc>
        <w:tc>
          <w:tcPr>
            <w:tcW w:w="2551" w:type="dxa"/>
            <w:vAlign w:val="center"/>
          </w:tcPr>
          <w:p>
            <w:pPr>
              <w:pStyle w:val="14"/>
            </w:pPr>
            <w:r>
              <w:t>100%</w:t>
            </w:r>
          </w:p>
        </w:tc>
        <w:tc>
          <w:tcPr>
            <w:tcW w:w="2268" w:type="dxa"/>
            <w:vAlign w:val="center"/>
          </w:tcPr>
          <w:p>
            <w:pPr>
              <w:pStyle w:val="14"/>
            </w:pPr>
            <w: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人均标准</w:t>
            </w:r>
          </w:p>
        </w:tc>
        <w:tc>
          <w:tcPr>
            <w:tcW w:w="2835" w:type="dxa"/>
            <w:vAlign w:val="center"/>
          </w:tcPr>
          <w:p>
            <w:pPr>
              <w:pStyle w:val="14"/>
            </w:pPr>
            <w:r>
              <w:t>每人每月发放标准</w:t>
            </w:r>
          </w:p>
        </w:tc>
        <w:tc>
          <w:tcPr>
            <w:tcW w:w="2551" w:type="dxa"/>
            <w:vAlign w:val="center"/>
          </w:tcPr>
          <w:p>
            <w:pPr>
              <w:pStyle w:val="14"/>
            </w:pPr>
            <w:r>
              <w:t>100元</w:t>
            </w:r>
          </w:p>
        </w:tc>
        <w:tc>
          <w:tcPr>
            <w:tcW w:w="2268" w:type="dxa"/>
            <w:vAlign w:val="center"/>
          </w:tcPr>
          <w:p>
            <w:pPr>
              <w:pStyle w:val="14"/>
            </w:pPr>
            <w: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计生知识宣传覆盖率</w:t>
            </w:r>
          </w:p>
        </w:tc>
        <w:tc>
          <w:tcPr>
            <w:tcW w:w="2835" w:type="dxa"/>
            <w:vAlign w:val="center"/>
          </w:tcPr>
          <w:p>
            <w:pPr>
              <w:pStyle w:val="14"/>
            </w:pPr>
            <w:r>
              <w:t>活动小区关于计生知识的覆盖率</w:t>
            </w:r>
          </w:p>
        </w:tc>
        <w:tc>
          <w:tcPr>
            <w:tcW w:w="2551" w:type="dxa"/>
            <w:vAlign w:val="center"/>
          </w:tcPr>
          <w:p>
            <w:pPr>
              <w:pStyle w:val="14"/>
            </w:pPr>
            <w:r>
              <w:t>≥90%</w:t>
            </w:r>
          </w:p>
        </w:tc>
        <w:tc>
          <w:tcPr>
            <w:tcW w:w="2268" w:type="dxa"/>
            <w:vAlign w:val="center"/>
          </w:tcPr>
          <w:p>
            <w:pPr>
              <w:pStyle w:val="14"/>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综合满意度</w:t>
            </w:r>
          </w:p>
        </w:tc>
        <w:tc>
          <w:tcPr>
            <w:tcW w:w="2835" w:type="dxa"/>
            <w:vAlign w:val="center"/>
          </w:tcPr>
          <w:p>
            <w:pPr>
              <w:pStyle w:val="14"/>
            </w:pPr>
            <w:r>
              <w:t>计生小组长满意度</w:t>
            </w:r>
          </w:p>
        </w:tc>
        <w:tc>
          <w:tcPr>
            <w:tcW w:w="2551" w:type="dxa"/>
            <w:vAlign w:val="center"/>
          </w:tcPr>
          <w:p>
            <w:pPr>
              <w:pStyle w:val="14"/>
            </w:pPr>
            <w:r>
              <w:t>≥90%</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17、楼门栋长补贴经费绩效目标表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1.通过项目的开展按时按量的发放楼门栋长补贴，促使楼门栋长配合社区居委会工作，实现降低居民纠纷率、提高楼门栋长满意度的目标。</w:t>
            </w:r>
          </w:p>
          <w:p>
            <w:pPr>
              <w:pStyle w:val="14"/>
            </w:pPr>
            <w:r>
              <w:t>2.通过开展按时按量的发放355名楼门栋长的补贴，促使楼门栋长配合社区居委会工作，实现降低居民纠纷率、提高楼门栋长满意度的目标。</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楼门栋长人数</w:t>
            </w:r>
          </w:p>
        </w:tc>
        <w:tc>
          <w:tcPr>
            <w:tcW w:w="2835" w:type="dxa"/>
            <w:vAlign w:val="center"/>
          </w:tcPr>
          <w:p>
            <w:pPr>
              <w:pStyle w:val="14"/>
            </w:pPr>
            <w:r>
              <w:t>保证355名人员到岗工作</w:t>
            </w:r>
          </w:p>
        </w:tc>
        <w:tc>
          <w:tcPr>
            <w:tcW w:w="2551" w:type="dxa"/>
            <w:vAlign w:val="center"/>
          </w:tcPr>
          <w:p>
            <w:pPr>
              <w:pStyle w:val="14"/>
            </w:pPr>
            <w:r>
              <w:t>355名</w:t>
            </w:r>
          </w:p>
        </w:tc>
        <w:tc>
          <w:tcPr>
            <w:tcW w:w="2268" w:type="dxa"/>
            <w:vAlign w:val="center"/>
          </w:tcPr>
          <w:p>
            <w:pPr>
              <w:pStyle w:val="14"/>
            </w:pPr>
            <w:r>
              <w:t>现有355名楼门栋长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补助金发放率</w:t>
            </w:r>
          </w:p>
        </w:tc>
        <w:tc>
          <w:tcPr>
            <w:tcW w:w="2835" w:type="dxa"/>
            <w:vAlign w:val="center"/>
          </w:tcPr>
          <w:p>
            <w:pPr>
              <w:pStyle w:val="14"/>
            </w:pPr>
            <w:r>
              <w:t>实际发放的补助金金额占计划发放金额的比率</w:t>
            </w:r>
          </w:p>
        </w:tc>
        <w:tc>
          <w:tcPr>
            <w:tcW w:w="2551" w:type="dxa"/>
            <w:vAlign w:val="center"/>
          </w:tcPr>
          <w:p>
            <w:pPr>
              <w:pStyle w:val="14"/>
            </w:pPr>
            <w:r>
              <w:t>≥95%</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发放及时性</w:t>
            </w:r>
          </w:p>
        </w:tc>
        <w:tc>
          <w:tcPr>
            <w:tcW w:w="2835" w:type="dxa"/>
            <w:vAlign w:val="center"/>
          </w:tcPr>
          <w:p>
            <w:pPr>
              <w:pStyle w:val="14"/>
            </w:pPr>
            <w:r>
              <w:t>实际补助发放时间</w:t>
            </w:r>
          </w:p>
        </w:tc>
        <w:tc>
          <w:tcPr>
            <w:tcW w:w="2551" w:type="dxa"/>
            <w:vAlign w:val="center"/>
          </w:tcPr>
          <w:p>
            <w:pPr>
              <w:pStyle w:val="14"/>
            </w:pPr>
            <w:r>
              <w:t>≤30日</w:t>
            </w:r>
          </w:p>
        </w:tc>
        <w:tc>
          <w:tcPr>
            <w:tcW w:w="2268" w:type="dxa"/>
            <w:vAlign w:val="center"/>
          </w:tcPr>
          <w:p>
            <w:pPr>
              <w:pStyle w:val="14"/>
            </w:pPr>
            <w:r>
              <w:t>支出计划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2835" w:type="dxa"/>
            <w:vAlign w:val="center"/>
          </w:tcPr>
          <w:p>
            <w:pPr>
              <w:pStyle w:val="14"/>
            </w:pPr>
            <w:r>
              <w:t>依据文件要求，按照100元/人/月的标准补贴人员占发放人员总数的比率</w:t>
            </w:r>
          </w:p>
        </w:tc>
        <w:tc>
          <w:tcPr>
            <w:tcW w:w="2551" w:type="dxa"/>
            <w:vAlign w:val="center"/>
          </w:tcPr>
          <w:p>
            <w:pPr>
              <w:pStyle w:val="14"/>
            </w:pPr>
            <w:r>
              <w:t>100元</w:t>
            </w:r>
          </w:p>
        </w:tc>
        <w:tc>
          <w:tcPr>
            <w:tcW w:w="2268" w:type="dxa"/>
            <w:vAlign w:val="center"/>
          </w:tcPr>
          <w:p>
            <w:pPr>
              <w:pStyle w:val="14"/>
            </w:pPr>
            <w:r>
              <w:t>中共大厂回族自治县委大厂回族自治县人民政府《关于加强和改进社区居民委员会建设工作的意见》大发[2012]24号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居民纠纷发生率</w:t>
            </w:r>
          </w:p>
        </w:tc>
        <w:tc>
          <w:tcPr>
            <w:tcW w:w="2835" w:type="dxa"/>
            <w:vAlign w:val="center"/>
          </w:tcPr>
          <w:p>
            <w:pPr>
              <w:pStyle w:val="14"/>
            </w:pPr>
            <w:r>
              <w:t>小区居民出现纠纷问题的比率</w:t>
            </w:r>
          </w:p>
        </w:tc>
        <w:tc>
          <w:tcPr>
            <w:tcW w:w="2551" w:type="dxa"/>
            <w:vAlign w:val="center"/>
          </w:tcPr>
          <w:p>
            <w:pPr>
              <w:pStyle w:val="14"/>
            </w:pPr>
            <w:r>
              <w:t>≤10%</w:t>
            </w:r>
          </w:p>
        </w:tc>
        <w:tc>
          <w:tcPr>
            <w:tcW w:w="2268" w:type="dxa"/>
            <w:vAlign w:val="center"/>
          </w:tcPr>
          <w:p>
            <w:pPr>
              <w:pStyle w:val="14"/>
            </w:pPr>
            <w:r>
              <w:t>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综合满意度</w:t>
            </w:r>
          </w:p>
        </w:tc>
        <w:tc>
          <w:tcPr>
            <w:tcW w:w="2835" w:type="dxa"/>
            <w:vAlign w:val="center"/>
          </w:tcPr>
          <w:p>
            <w:pPr>
              <w:pStyle w:val="14"/>
            </w:pPr>
            <w:r>
              <w:t>小区居民满意度</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18、平房区回族家庭门楣治理资金绩效目标表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1.通过对辖区平房区回族家庭门楣进行统一治理，使当地门面得到改善。</w:t>
            </w:r>
            <w:r>
              <w:tab/>
            </w:r>
            <w:r>
              <w:tab/>
            </w:r>
            <w:r>
              <w:tab/>
            </w:r>
            <w:r>
              <w:tab/>
            </w:r>
            <w:r>
              <w:tab/>
            </w:r>
            <w:r>
              <w:tab/>
            </w:r>
            <w:r>
              <w:tab/>
            </w:r>
            <w:r>
              <w:tab/>
            </w:r>
          </w:p>
          <w:p>
            <w:pPr>
              <w:pStyle w:val="14"/>
            </w:pPr>
            <w:r>
              <w:t>2.通过对147户回族家庭门楣的治理，将平房区门楣阿文标识进行统一清除、替换。</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治理门楣数量</w:t>
            </w:r>
          </w:p>
        </w:tc>
        <w:tc>
          <w:tcPr>
            <w:tcW w:w="2835" w:type="dxa"/>
            <w:vAlign w:val="center"/>
          </w:tcPr>
          <w:p>
            <w:pPr>
              <w:pStyle w:val="14"/>
            </w:pPr>
            <w:r>
              <w:t>需要治理门楣数量</w:t>
            </w:r>
          </w:p>
        </w:tc>
        <w:tc>
          <w:tcPr>
            <w:tcW w:w="2551" w:type="dxa"/>
            <w:vAlign w:val="center"/>
          </w:tcPr>
          <w:p>
            <w:pPr>
              <w:pStyle w:val="14"/>
            </w:pPr>
            <w:r>
              <w:t>≥147个</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门楣修改合格率</w:t>
            </w:r>
          </w:p>
        </w:tc>
        <w:tc>
          <w:tcPr>
            <w:tcW w:w="2835" w:type="dxa"/>
            <w:vAlign w:val="center"/>
          </w:tcPr>
          <w:p>
            <w:pPr>
              <w:pStyle w:val="14"/>
            </w:pPr>
            <w:r>
              <w:t>全部拆除或用制式铭牌进行覆盖</w:t>
            </w:r>
          </w:p>
        </w:tc>
        <w:tc>
          <w:tcPr>
            <w:tcW w:w="2551" w:type="dxa"/>
            <w:vAlign w:val="center"/>
          </w:tcPr>
          <w:p>
            <w:pPr>
              <w:pStyle w:val="14"/>
            </w:pPr>
            <w:r>
              <w:t>100%</w:t>
            </w:r>
          </w:p>
        </w:tc>
        <w:tc>
          <w:tcPr>
            <w:tcW w:w="2268" w:type="dxa"/>
            <w:vAlign w:val="center"/>
          </w:tcPr>
          <w:p>
            <w:pPr>
              <w:pStyle w:val="14"/>
            </w:pPr>
            <w: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完成时间</w:t>
            </w:r>
          </w:p>
        </w:tc>
        <w:tc>
          <w:tcPr>
            <w:tcW w:w="2835" w:type="dxa"/>
            <w:vAlign w:val="center"/>
          </w:tcPr>
          <w:p>
            <w:pPr>
              <w:pStyle w:val="14"/>
            </w:pPr>
            <w:r>
              <w:t>实际支付时间</w:t>
            </w:r>
          </w:p>
        </w:tc>
        <w:tc>
          <w:tcPr>
            <w:tcW w:w="2551" w:type="dxa"/>
            <w:vAlign w:val="center"/>
          </w:tcPr>
          <w:p>
            <w:pPr>
              <w:pStyle w:val="14"/>
            </w:pPr>
            <w:r>
              <w:t>≤12月份</w:t>
            </w:r>
          </w:p>
        </w:tc>
        <w:tc>
          <w:tcPr>
            <w:tcW w:w="2268" w:type="dxa"/>
            <w:vAlign w:val="center"/>
          </w:tcPr>
          <w:p>
            <w:pPr>
              <w:pStyle w:val="14"/>
            </w:pPr>
            <w:r>
              <w:t>项目运行计划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门楣治理平均成本</w:t>
            </w:r>
          </w:p>
        </w:tc>
        <w:tc>
          <w:tcPr>
            <w:tcW w:w="2835" w:type="dxa"/>
            <w:vAlign w:val="center"/>
          </w:tcPr>
          <w:p>
            <w:pPr>
              <w:pStyle w:val="14"/>
            </w:pPr>
            <w:r>
              <w:t>治理每户门楣所需成本</w:t>
            </w:r>
          </w:p>
        </w:tc>
        <w:tc>
          <w:tcPr>
            <w:tcW w:w="2551" w:type="dxa"/>
            <w:vAlign w:val="center"/>
          </w:tcPr>
          <w:p>
            <w:pPr>
              <w:pStyle w:val="14"/>
            </w:pPr>
            <w:r>
              <w:t>≤300元</w:t>
            </w:r>
          </w:p>
        </w:tc>
        <w:tc>
          <w:tcPr>
            <w:tcW w:w="2268" w:type="dxa"/>
            <w:vAlign w:val="center"/>
          </w:tcPr>
          <w:p>
            <w:pPr>
              <w:pStyle w:val="14"/>
            </w:pPr>
            <w:r>
              <w:t>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门面统一化</w:t>
            </w:r>
          </w:p>
        </w:tc>
        <w:tc>
          <w:tcPr>
            <w:tcW w:w="2835" w:type="dxa"/>
            <w:vAlign w:val="center"/>
          </w:tcPr>
          <w:p>
            <w:pPr>
              <w:pStyle w:val="14"/>
            </w:pPr>
            <w:r>
              <w:t>门楣标识治理效果</w:t>
            </w:r>
          </w:p>
        </w:tc>
        <w:tc>
          <w:tcPr>
            <w:tcW w:w="2551" w:type="dxa"/>
            <w:vAlign w:val="center"/>
          </w:tcPr>
          <w:p>
            <w:pPr>
              <w:pStyle w:val="14"/>
            </w:pPr>
            <w:r>
              <w:t>100%</w:t>
            </w:r>
          </w:p>
        </w:tc>
        <w:tc>
          <w:tcPr>
            <w:tcW w:w="2268" w:type="dxa"/>
            <w:vAlign w:val="center"/>
          </w:tcPr>
          <w:p>
            <w:pPr>
              <w:pStyle w:val="14"/>
            </w:pPr>
            <w:r>
              <w:t>实地查看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居民满意度</w:t>
            </w:r>
          </w:p>
        </w:tc>
        <w:tc>
          <w:tcPr>
            <w:tcW w:w="2835" w:type="dxa"/>
            <w:vAlign w:val="center"/>
          </w:tcPr>
          <w:p>
            <w:pPr>
              <w:pStyle w:val="14"/>
            </w:pPr>
            <w:r>
              <w:t>居民满意度</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19、平房小区公共基础设施提升改造工程绩效目标表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1.通过更换平房小区地下排水管道、胡同路面重铺、安装胡同路灯等，提升完善平房小区公共基础设施，美化小区人居环境，提升小区居民幸福感、获得感、满意感。</w:t>
            </w:r>
            <w:r>
              <w:tab/>
            </w:r>
            <w:r>
              <w:tab/>
            </w:r>
            <w:r>
              <w:tab/>
            </w:r>
            <w:r>
              <w:tab/>
            </w:r>
            <w:r>
              <w:tab/>
            </w:r>
            <w:r>
              <w:tab/>
            </w:r>
            <w:r>
              <w:tab/>
            </w:r>
            <w:r>
              <w:tab/>
            </w:r>
          </w:p>
          <w:p>
            <w:pPr>
              <w:pStyle w:val="14"/>
            </w:pPr>
          </w:p>
          <w:p>
            <w:pPr>
              <w:pStyle w:val="14"/>
            </w:pPr>
            <w:r>
              <w:t>2.通过项目的开展按质按量完成工程量，实现基础设施完好率、受益群体满意的目标。</w:t>
            </w:r>
            <w:r>
              <w:tab/>
            </w:r>
            <w:r>
              <w:tab/>
            </w:r>
            <w:r>
              <w:tab/>
            </w:r>
            <w:r>
              <w:tab/>
            </w:r>
            <w:r>
              <w:tab/>
            </w:r>
            <w:r>
              <w:tab/>
            </w:r>
            <w:r>
              <w:tab/>
            </w:r>
            <w:r>
              <w:tab/>
            </w:r>
          </w:p>
          <w:p>
            <w:pPr>
              <w:pStyle w:val="14"/>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平房小区公共基础设施提升改造工程</w:t>
            </w:r>
          </w:p>
        </w:tc>
        <w:tc>
          <w:tcPr>
            <w:tcW w:w="2835" w:type="dxa"/>
            <w:vAlign w:val="center"/>
          </w:tcPr>
          <w:p>
            <w:pPr>
              <w:pStyle w:val="14"/>
            </w:pPr>
            <w:r>
              <w:t>改造小区数量</w:t>
            </w:r>
          </w:p>
        </w:tc>
        <w:tc>
          <w:tcPr>
            <w:tcW w:w="2551" w:type="dxa"/>
            <w:vAlign w:val="center"/>
          </w:tcPr>
          <w:p>
            <w:pPr>
              <w:pStyle w:val="14"/>
            </w:pPr>
            <w:r>
              <w:t>≥6个</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工程验收合格率</w:t>
            </w:r>
          </w:p>
        </w:tc>
        <w:tc>
          <w:tcPr>
            <w:tcW w:w="2835" w:type="dxa"/>
            <w:vAlign w:val="center"/>
          </w:tcPr>
          <w:p>
            <w:pPr>
              <w:pStyle w:val="14"/>
            </w:pPr>
            <w:r>
              <w:t>2021年按期完成所有工程内容</w:t>
            </w:r>
          </w:p>
        </w:tc>
        <w:tc>
          <w:tcPr>
            <w:tcW w:w="2551" w:type="dxa"/>
            <w:vAlign w:val="center"/>
          </w:tcPr>
          <w:p>
            <w:pPr>
              <w:pStyle w:val="14"/>
            </w:pPr>
            <w:r>
              <w:t>≥100％</w:t>
            </w:r>
          </w:p>
        </w:tc>
        <w:tc>
          <w:tcPr>
            <w:tcW w:w="2268" w:type="dxa"/>
            <w:vAlign w:val="center"/>
          </w:tcPr>
          <w:p>
            <w:pPr>
              <w:pStyle w:val="14"/>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工程竣工时间</w:t>
            </w:r>
          </w:p>
        </w:tc>
        <w:tc>
          <w:tcPr>
            <w:tcW w:w="2835" w:type="dxa"/>
            <w:vAlign w:val="center"/>
          </w:tcPr>
          <w:p>
            <w:pPr>
              <w:pStyle w:val="14"/>
            </w:pPr>
            <w:r>
              <w:t>2021年8月底已竣工</w:t>
            </w:r>
          </w:p>
        </w:tc>
        <w:tc>
          <w:tcPr>
            <w:tcW w:w="2551" w:type="dxa"/>
            <w:vAlign w:val="center"/>
          </w:tcPr>
          <w:p>
            <w:pPr>
              <w:pStyle w:val="14"/>
            </w:pPr>
            <w:r>
              <w:t>≤9月份</w:t>
            </w:r>
          </w:p>
        </w:tc>
        <w:tc>
          <w:tcPr>
            <w:tcW w:w="2268" w:type="dxa"/>
            <w:vAlign w:val="center"/>
          </w:tcPr>
          <w:p>
            <w:pPr>
              <w:pStyle w:val="14"/>
            </w:pPr>
            <w:r>
              <w:t>竣工报告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资金预算控制</w:t>
            </w:r>
          </w:p>
        </w:tc>
        <w:tc>
          <w:tcPr>
            <w:tcW w:w="2835" w:type="dxa"/>
            <w:vAlign w:val="center"/>
          </w:tcPr>
          <w:p>
            <w:pPr>
              <w:pStyle w:val="14"/>
            </w:pPr>
            <w:r>
              <w:t>项目总支出控制在预算范围内</w:t>
            </w:r>
          </w:p>
        </w:tc>
        <w:tc>
          <w:tcPr>
            <w:tcW w:w="2551" w:type="dxa"/>
            <w:vAlign w:val="center"/>
          </w:tcPr>
          <w:p>
            <w:pPr>
              <w:pStyle w:val="14"/>
            </w:pPr>
            <w:r>
              <w:t>≤10万元</w:t>
            </w:r>
          </w:p>
        </w:tc>
        <w:tc>
          <w:tcPr>
            <w:tcW w:w="2268"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全县惠民实事工程之一</w:t>
            </w:r>
          </w:p>
        </w:tc>
        <w:tc>
          <w:tcPr>
            <w:tcW w:w="2835" w:type="dxa"/>
            <w:vAlign w:val="center"/>
          </w:tcPr>
          <w:p>
            <w:pPr>
              <w:pStyle w:val="14"/>
            </w:pPr>
            <w:r>
              <w:t>逐步缩小新旧小区环境差距，切实改善群众生活环境和生活质量，提升县城区整体环境水平，基础设施完好率提高。</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居民满意度</w:t>
            </w:r>
          </w:p>
        </w:tc>
        <w:tc>
          <w:tcPr>
            <w:tcW w:w="2835" w:type="dxa"/>
            <w:vAlign w:val="center"/>
          </w:tcPr>
          <w:p>
            <w:pPr>
              <w:pStyle w:val="14"/>
            </w:pPr>
            <w:r>
              <w:t>居住环境明显提升，居民满意率高</w:t>
            </w:r>
          </w:p>
        </w:tc>
        <w:tc>
          <w:tcPr>
            <w:tcW w:w="2551" w:type="dxa"/>
            <w:vAlign w:val="center"/>
          </w:tcPr>
          <w:p>
            <w:pPr>
              <w:pStyle w:val="14"/>
            </w:pPr>
            <w:r>
              <w:t>≥90%</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20、社区工作人员补贴资金绩效目标表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1.通过项目的开展，按时按量发放社区工作者补贴，实现提高工作完成率、社区工作者满意目标。</w:t>
            </w:r>
            <w:r>
              <w:tab/>
            </w:r>
            <w:r>
              <w:tab/>
            </w:r>
            <w:r>
              <w:tab/>
            </w:r>
            <w:r>
              <w:tab/>
            </w:r>
            <w:r>
              <w:tab/>
            </w:r>
            <w:r>
              <w:tab/>
            </w:r>
            <w:r>
              <w:tab/>
            </w:r>
            <w:r>
              <w:tab/>
            </w:r>
          </w:p>
          <w:p>
            <w:pPr>
              <w:pStyle w:val="14"/>
            </w:pPr>
            <w:r>
              <w:t>2.通过项目的开展，按时按量发放社区工作者补贴，实现提高工作完成率、社区工作者满意目标。</w:t>
            </w:r>
            <w:r>
              <w:tab/>
            </w:r>
            <w:r>
              <w:tab/>
            </w:r>
            <w:r>
              <w:tab/>
            </w:r>
            <w:r>
              <w:tab/>
            </w:r>
            <w:r>
              <w:tab/>
            </w:r>
            <w:r>
              <w:tab/>
            </w:r>
            <w:r>
              <w:tab/>
            </w:r>
            <w:r>
              <w:tab/>
            </w:r>
          </w:p>
          <w:p>
            <w:pPr>
              <w:pStyle w:val="14"/>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社区工作人数</w:t>
            </w:r>
          </w:p>
        </w:tc>
        <w:tc>
          <w:tcPr>
            <w:tcW w:w="2835" w:type="dxa"/>
            <w:vAlign w:val="center"/>
          </w:tcPr>
          <w:p>
            <w:pPr>
              <w:pStyle w:val="14"/>
            </w:pPr>
            <w:r>
              <w:t>保证6名社区工作人员到岗工作</w:t>
            </w:r>
          </w:p>
        </w:tc>
        <w:tc>
          <w:tcPr>
            <w:tcW w:w="2551" w:type="dxa"/>
            <w:vAlign w:val="center"/>
          </w:tcPr>
          <w:p>
            <w:pPr>
              <w:pStyle w:val="14"/>
            </w:pPr>
            <w:r>
              <w:t>6名</w:t>
            </w:r>
          </w:p>
        </w:tc>
        <w:tc>
          <w:tcPr>
            <w:tcW w:w="2268" w:type="dxa"/>
            <w:vAlign w:val="center"/>
          </w:tcPr>
          <w:p>
            <w:pPr>
              <w:pStyle w:val="14"/>
            </w:pPr>
            <w:r>
              <w:t>实际招聘人员数量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补助金发放率(%)</w:t>
            </w:r>
          </w:p>
        </w:tc>
        <w:tc>
          <w:tcPr>
            <w:tcW w:w="2835" w:type="dxa"/>
            <w:vAlign w:val="center"/>
          </w:tcPr>
          <w:p>
            <w:pPr>
              <w:pStyle w:val="14"/>
            </w:pPr>
            <w:r>
              <w:t>实际发放的补助金金额占计划发放金额的比率</w:t>
            </w:r>
          </w:p>
        </w:tc>
        <w:tc>
          <w:tcPr>
            <w:tcW w:w="2551" w:type="dxa"/>
            <w:vAlign w:val="center"/>
          </w:tcPr>
          <w:p>
            <w:pPr>
              <w:pStyle w:val="14"/>
            </w:pPr>
            <w:r>
              <w:t>≥95百分比</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补助发放时间</w:t>
            </w:r>
          </w:p>
        </w:tc>
        <w:tc>
          <w:tcPr>
            <w:tcW w:w="2835" w:type="dxa"/>
            <w:vAlign w:val="center"/>
          </w:tcPr>
          <w:p>
            <w:pPr>
              <w:pStyle w:val="14"/>
            </w:pPr>
            <w:r>
              <w:t>补助发放时间和计划发放时间的对比</w:t>
            </w:r>
          </w:p>
        </w:tc>
        <w:tc>
          <w:tcPr>
            <w:tcW w:w="2551" w:type="dxa"/>
            <w:vAlign w:val="center"/>
          </w:tcPr>
          <w:p>
            <w:pPr>
              <w:pStyle w:val="14"/>
            </w:pPr>
            <w:r>
              <w:t>≥100百分比</w:t>
            </w:r>
          </w:p>
        </w:tc>
        <w:tc>
          <w:tcPr>
            <w:tcW w:w="2268" w:type="dxa"/>
            <w:vAlign w:val="center"/>
          </w:tcPr>
          <w:p>
            <w:pPr>
              <w:pStyle w:val="14"/>
            </w:pPr>
            <w:r>
              <w:t>用款计划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人均补助标准</w:t>
            </w:r>
          </w:p>
        </w:tc>
        <w:tc>
          <w:tcPr>
            <w:tcW w:w="2835" w:type="dxa"/>
            <w:vAlign w:val="center"/>
          </w:tcPr>
          <w:p>
            <w:pPr>
              <w:pStyle w:val="14"/>
            </w:pPr>
            <w:r>
              <w:t>按照2000元/人/月的标准</w:t>
            </w:r>
          </w:p>
        </w:tc>
        <w:tc>
          <w:tcPr>
            <w:tcW w:w="2551" w:type="dxa"/>
            <w:vAlign w:val="center"/>
          </w:tcPr>
          <w:p>
            <w:pPr>
              <w:pStyle w:val="14"/>
            </w:pPr>
            <w:r>
              <w:t>0.2万元</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社区服务能力提升</w:t>
            </w:r>
          </w:p>
        </w:tc>
        <w:tc>
          <w:tcPr>
            <w:tcW w:w="2835" w:type="dxa"/>
            <w:vAlign w:val="center"/>
          </w:tcPr>
          <w:p>
            <w:pPr>
              <w:pStyle w:val="14"/>
            </w:pPr>
            <w:r>
              <w:t>补助所带来的工作人员服务社区能力提升情况</w:t>
            </w:r>
          </w:p>
        </w:tc>
        <w:tc>
          <w:tcPr>
            <w:tcW w:w="2551" w:type="dxa"/>
            <w:vAlign w:val="center"/>
          </w:tcPr>
          <w:p>
            <w:pPr>
              <w:pStyle w:val="14"/>
            </w:pPr>
            <w:r>
              <w:t>显著</w:t>
            </w:r>
          </w:p>
        </w:tc>
        <w:tc>
          <w:tcPr>
            <w:tcW w:w="2268" w:type="dxa"/>
            <w:vAlign w:val="center"/>
          </w:tcPr>
          <w:p>
            <w:pPr>
              <w:pStyle w:val="14"/>
            </w:pPr>
            <w:r>
              <w:t>社区居民反馈结果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综合满意度</w:t>
            </w:r>
          </w:p>
        </w:tc>
        <w:tc>
          <w:tcPr>
            <w:tcW w:w="2835" w:type="dxa"/>
            <w:vAlign w:val="center"/>
          </w:tcPr>
          <w:p>
            <w:pPr>
              <w:pStyle w:val="14"/>
            </w:pPr>
            <w:r>
              <w:t>受益对象满意度</w:t>
            </w:r>
          </w:p>
        </w:tc>
        <w:tc>
          <w:tcPr>
            <w:tcW w:w="2551" w:type="dxa"/>
            <w:vAlign w:val="center"/>
          </w:tcPr>
          <w:p>
            <w:pPr>
              <w:pStyle w:val="14"/>
            </w:pPr>
            <w:r>
              <w:t>≥90百分比</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21、社区工作者人员经费绩效目标表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1.通过按时按量发放88名社区工作者工资，提高工作完成率、提升业务能力、提高居民满意度。</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社区工作者人数</w:t>
            </w:r>
          </w:p>
        </w:tc>
        <w:tc>
          <w:tcPr>
            <w:tcW w:w="2835" w:type="dxa"/>
            <w:vAlign w:val="center"/>
          </w:tcPr>
          <w:p>
            <w:pPr>
              <w:pStyle w:val="14"/>
            </w:pPr>
            <w:r>
              <w:t>反映2022年度社区工作者，包括拟招的总人数</w:t>
            </w:r>
          </w:p>
        </w:tc>
        <w:tc>
          <w:tcPr>
            <w:tcW w:w="2551" w:type="dxa"/>
            <w:vAlign w:val="center"/>
          </w:tcPr>
          <w:p>
            <w:pPr>
              <w:pStyle w:val="14"/>
            </w:pPr>
            <w:r>
              <w:t>88名</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计放准确率</w:t>
            </w:r>
          </w:p>
        </w:tc>
        <w:tc>
          <w:tcPr>
            <w:tcW w:w="2835" w:type="dxa"/>
            <w:vAlign w:val="center"/>
          </w:tcPr>
          <w:p>
            <w:pPr>
              <w:pStyle w:val="14"/>
            </w:pPr>
            <w:r>
              <w:t>反映计发的准确率情况</w:t>
            </w:r>
          </w:p>
        </w:tc>
        <w:tc>
          <w:tcPr>
            <w:tcW w:w="2551" w:type="dxa"/>
            <w:vAlign w:val="center"/>
          </w:tcPr>
          <w:p>
            <w:pPr>
              <w:pStyle w:val="14"/>
            </w:pPr>
            <w:r>
              <w:t>100百分比</w:t>
            </w:r>
          </w:p>
        </w:tc>
        <w:tc>
          <w:tcPr>
            <w:tcW w:w="2268" w:type="dxa"/>
            <w:vAlign w:val="center"/>
          </w:tcPr>
          <w:p>
            <w:pPr>
              <w:pStyle w:val="14"/>
            </w:pPr>
            <w:r>
              <w:t>考勤表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发放及时率</w:t>
            </w:r>
          </w:p>
        </w:tc>
        <w:tc>
          <w:tcPr>
            <w:tcW w:w="2835" w:type="dxa"/>
            <w:vAlign w:val="center"/>
          </w:tcPr>
          <w:p>
            <w:pPr>
              <w:pStyle w:val="14"/>
            </w:pPr>
            <w:r>
              <w:t>反映按期发放的及时率情况</w:t>
            </w:r>
          </w:p>
        </w:tc>
        <w:tc>
          <w:tcPr>
            <w:tcW w:w="2551" w:type="dxa"/>
            <w:vAlign w:val="center"/>
          </w:tcPr>
          <w:p>
            <w:pPr>
              <w:pStyle w:val="14"/>
            </w:pPr>
            <w:r>
              <w:t>100百分比</w:t>
            </w:r>
          </w:p>
        </w:tc>
        <w:tc>
          <w:tcPr>
            <w:tcW w:w="2268" w:type="dxa"/>
            <w:vAlign w:val="center"/>
          </w:tcPr>
          <w:p>
            <w:pPr>
              <w:pStyle w:val="14"/>
            </w:pPr>
            <w:r>
              <w:t>工资流水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人均年度成本</w:t>
            </w:r>
          </w:p>
        </w:tc>
        <w:tc>
          <w:tcPr>
            <w:tcW w:w="2835" w:type="dxa"/>
            <w:vAlign w:val="center"/>
          </w:tcPr>
          <w:p>
            <w:pPr>
              <w:pStyle w:val="14"/>
            </w:pPr>
            <w:r>
              <w:t>反映社区工作者员人均年计发标准情况</w:t>
            </w:r>
          </w:p>
        </w:tc>
        <w:tc>
          <w:tcPr>
            <w:tcW w:w="2551" w:type="dxa"/>
            <w:vAlign w:val="center"/>
          </w:tcPr>
          <w:p>
            <w:pPr>
              <w:pStyle w:val="14"/>
            </w:pPr>
            <w:r>
              <w:t>≤7.88万元</w:t>
            </w:r>
          </w:p>
        </w:tc>
        <w:tc>
          <w:tcPr>
            <w:tcW w:w="2268" w:type="dxa"/>
            <w:vAlign w:val="center"/>
          </w:tcPr>
          <w:p>
            <w:pPr>
              <w:pStyle w:val="14"/>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出勤到岗率</w:t>
            </w:r>
          </w:p>
        </w:tc>
        <w:tc>
          <w:tcPr>
            <w:tcW w:w="2835" w:type="dxa"/>
            <w:vAlign w:val="center"/>
          </w:tcPr>
          <w:p>
            <w:pPr>
              <w:pStyle w:val="14"/>
            </w:pPr>
            <w:r>
              <w:t>反映社区工作者到岗服务考核的情况</w:t>
            </w:r>
          </w:p>
        </w:tc>
        <w:tc>
          <w:tcPr>
            <w:tcW w:w="2551" w:type="dxa"/>
            <w:vAlign w:val="center"/>
          </w:tcPr>
          <w:p>
            <w:pPr>
              <w:pStyle w:val="14"/>
            </w:pPr>
            <w:r>
              <w:t>≥95百分比</w:t>
            </w:r>
          </w:p>
        </w:tc>
        <w:tc>
          <w:tcPr>
            <w:tcW w:w="2268" w:type="dxa"/>
            <w:vAlign w:val="center"/>
          </w:tcPr>
          <w:p>
            <w:pPr>
              <w:pStyle w:val="14"/>
            </w:pPr>
            <w:r>
              <w:t>居民反馈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 xml:space="preserve"> 居民满意度</w:t>
            </w:r>
          </w:p>
        </w:tc>
        <w:tc>
          <w:tcPr>
            <w:tcW w:w="2835" w:type="dxa"/>
            <w:vAlign w:val="center"/>
          </w:tcPr>
          <w:p>
            <w:pPr>
              <w:pStyle w:val="14"/>
            </w:pPr>
            <w:r>
              <w:t xml:space="preserve"> 反映辖区内居民对社区工作的综合满意度</w:t>
            </w:r>
          </w:p>
        </w:tc>
        <w:tc>
          <w:tcPr>
            <w:tcW w:w="2551" w:type="dxa"/>
            <w:vAlign w:val="center"/>
          </w:tcPr>
          <w:p>
            <w:pPr>
              <w:pStyle w:val="14"/>
            </w:pPr>
            <w:r>
              <w:t>≥90 百分比</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22、社区及新时代文明实践所房租资金绩效目标表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1.通过以租房的形式，保障社区和新时代文明实践所正常运转，更好的为居民服务。</w:t>
            </w:r>
            <w:r>
              <w:tab/>
            </w:r>
            <w:r>
              <w:tab/>
            </w:r>
            <w:r>
              <w:tab/>
            </w:r>
            <w:r>
              <w:tab/>
            </w:r>
            <w:r>
              <w:tab/>
            </w:r>
            <w:r>
              <w:tab/>
            </w:r>
            <w:r>
              <w:tab/>
            </w:r>
            <w:r>
              <w:tab/>
            </w:r>
          </w:p>
          <w:p>
            <w:pPr>
              <w:pStyle w:val="14"/>
            </w:pPr>
          </w:p>
          <w:p>
            <w:pPr>
              <w:pStyle w:val="14"/>
            </w:pPr>
            <w:r>
              <w:t>2.通过对11个社区办公用房、活动用房租房的房租支持，保障社区和新时代文明实践所正常运转，保障居民的满意度。</w:t>
            </w:r>
            <w:r>
              <w:tab/>
            </w:r>
            <w:r>
              <w:tab/>
            </w:r>
            <w:r>
              <w:tab/>
            </w:r>
            <w:r>
              <w:tab/>
            </w:r>
            <w:r>
              <w:tab/>
            </w:r>
            <w:r>
              <w:tab/>
            </w:r>
            <w:r>
              <w:tab/>
            </w:r>
            <w:r>
              <w:tab/>
            </w:r>
          </w:p>
          <w:p>
            <w:pPr>
              <w:pStyle w:val="14"/>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租房数量</w:t>
            </w:r>
          </w:p>
        </w:tc>
        <w:tc>
          <w:tcPr>
            <w:tcW w:w="2835" w:type="dxa"/>
            <w:vAlign w:val="center"/>
          </w:tcPr>
          <w:p>
            <w:pPr>
              <w:pStyle w:val="14"/>
            </w:pPr>
            <w:r>
              <w:t>实际租用的社区用房和房屋的数量</w:t>
            </w:r>
          </w:p>
        </w:tc>
        <w:tc>
          <w:tcPr>
            <w:tcW w:w="2551" w:type="dxa"/>
            <w:vAlign w:val="center"/>
          </w:tcPr>
          <w:p>
            <w:pPr>
              <w:pStyle w:val="14"/>
            </w:pPr>
            <w:r>
              <w:t>11个</w:t>
            </w:r>
          </w:p>
        </w:tc>
        <w:tc>
          <w:tcPr>
            <w:tcW w:w="2268"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租赁用房使用率</w:t>
            </w:r>
          </w:p>
        </w:tc>
        <w:tc>
          <w:tcPr>
            <w:tcW w:w="2835" w:type="dxa"/>
            <w:vAlign w:val="center"/>
          </w:tcPr>
          <w:p>
            <w:pPr>
              <w:pStyle w:val="14"/>
            </w:pPr>
            <w:r>
              <w:t>租赁房屋投入使用的数量占租赁房屋总数的比例</w:t>
            </w:r>
          </w:p>
        </w:tc>
        <w:tc>
          <w:tcPr>
            <w:tcW w:w="2551" w:type="dxa"/>
            <w:vAlign w:val="center"/>
          </w:tcPr>
          <w:p>
            <w:pPr>
              <w:pStyle w:val="14"/>
            </w:pPr>
            <w:r>
              <w:t>100%</w:t>
            </w:r>
          </w:p>
        </w:tc>
        <w:tc>
          <w:tcPr>
            <w:tcW w:w="2268" w:type="dxa"/>
            <w:vAlign w:val="center"/>
          </w:tcPr>
          <w:p>
            <w:pPr>
              <w:pStyle w:val="14"/>
            </w:pPr>
            <w: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租金支付及时性</w:t>
            </w:r>
          </w:p>
        </w:tc>
        <w:tc>
          <w:tcPr>
            <w:tcW w:w="2835" w:type="dxa"/>
            <w:vAlign w:val="center"/>
          </w:tcPr>
          <w:p>
            <w:pPr>
              <w:pStyle w:val="14"/>
            </w:pPr>
            <w:r>
              <w:t>按照合同支付租金</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社区平均成本</w:t>
            </w:r>
          </w:p>
        </w:tc>
        <w:tc>
          <w:tcPr>
            <w:tcW w:w="2835" w:type="dxa"/>
            <w:vAlign w:val="center"/>
          </w:tcPr>
          <w:p>
            <w:pPr>
              <w:pStyle w:val="14"/>
            </w:pPr>
            <w:r>
              <w:t>每个社区租赁房屋所需费用平均值</w:t>
            </w:r>
          </w:p>
        </w:tc>
        <w:tc>
          <w:tcPr>
            <w:tcW w:w="2551" w:type="dxa"/>
            <w:vAlign w:val="center"/>
          </w:tcPr>
          <w:p>
            <w:pPr>
              <w:pStyle w:val="14"/>
            </w:pPr>
            <w:r>
              <w:t>≤15.67万元</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保障社区正常运转</w:t>
            </w:r>
          </w:p>
        </w:tc>
        <w:tc>
          <w:tcPr>
            <w:tcW w:w="2835" w:type="dxa"/>
            <w:vAlign w:val="center"/>
          </w:tcPr>
          <w:p>
            <w:pPr>
              <w:pStyle w:val="14"/>
            </w:pPr>
            <w:r>
              <w:t>反映对社区和新时代文明实践所正常运转的保障情况</w:t>
            </w:r>
          </w:p>
        </w:tc>
        <w:tc>
          <w:tcPr>
            <w:tcW w:w="2551" w:type="dxa"/>
            <w:vAlign w:val="center"/>
          </w:tcPr>
          <w:p>
            <w:pPr>
              <w:pStyle w:val="14"/>
            </w:pPr>
            <w:r>
              <w:t>有效</w:t>
            </w:r>
          </w:p>
          <w:p>
            <w:pPr>
              <w:pStyle w:val="14"/>
            </w:pPr>
            <w:r>
              <w:t>保障</w:t>
            </w:r>
          </w:p>
        </w:tc>
        <w:tc>
          <w:tcPr>
            <w:tcW w:w="2268" w:type="dxa"/>
            <w:vAlign w:val="center"/>
          </w:tcPr>
          <w:p>
            <w:pPr>
              <w:pStyle w:val="14"/>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居民满意度</w:t>
            </w:r>
          </w:p>
        </w:tc>
        <w:tc>
          <w:tcPr>
            <w:tcW w:w="2835" w:type="dxa"/>
            <w:vAlign w:val="center"/>
          </w:tcPr>
          <w:p>
            <w:pPr>
              <w:pStyle w:val="14"/>
            </w:pPr>
            <w:r>
              <w:t>居民满意率</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23、行政综合服务中心改造提升工程质保金绩效目标表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1.通过改造提升北辰街道行政综合服务中心，为县城群众提供更高质量政务服务，满足群众日益增长的服务需求，提升群众满意率。</w:t>
            </w:r>
          </w:p>
          <w:p>
            <w:pPr>
              <w:pStyle w:val="14"/>
            </w:pPr>
            <w:r>
              <w:t>2.通过项目的开展按质按量完成工程量，实现基础设施完好率、受益群体满意的目标。</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建设规模</w:t>
            </w:r>
          </w:p>
        </w:tc>
        <w:tc>
          <w:tcPr>
            <w:tcW w:w="2835" w:type="dxa"/>
            <w:vAlign w:val="center"/>
          </w:tcPr>
          <w:p>
            <w:pPr>
              <w:pStyle w:val="14"/>
            </w:pPr>
            <w:r>
              <w:t>实际扩建的平米数</w:t>
            </w:r>
          </w:p>
        </w:tc>
        <w:tc>
          <w:tcPr>
            <w:tcW w:w="2551" w:type="dxa"/>
            <w:vAlign w:val="center"/>
          </w:tcPr>
          <w:p>
            <w:pPr>
              <w:pStyle w:val="14"/>
            </w:pPr>
            <w:r>
              <w:t>≥130平方米</w:t>
            </w:r>
          </w:p>
        </w:tc>
        <w:tc>
          <w:tcPr>
            <w:tcW w:w="2268" w:type="dxa"/>
            <w:vAlign w:val="center"/>
          </w:tcPr>
          <w:p>
            <w:pPr>
              <w:pStyle w:val="14"/>
            </w:pPr>
            <w:r>
              <w:t>活动记录及照片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工程验收合格率</w:t>
            </w:r>
          </w:p>
        </w:tc>
        <w:tc>
          <w:tcPr>
            <w:tcW w:w="2835" w:type="dxa"/>
            <w:vAlign w:val="center"/>
          </w:tcPr>
          <w:p>
            <w:pPr>
              <w:pStyle w:val="14"/>
            </w:pPr>
            <w:r>
              <w:t>改造提升工程验收合格率</w:t>
            </w:r>
          </w:p>
        </w:tc>
        <w:tc>
          <w:tcPr>
            <w:tcW w:w="2551" w:type="dxa"/>
            <w:vAlign w:val="center"/>
          </w:tcPr>
          <w:p>
            <w:pPr>
              <w:pStyle w:val="14"/>
            </w:pPr>
            <w:r>
              <w:t>100％</w:t>
            </w:r>
          </w:p>
        </w:tc>
        <w:tc>
          <w:tcPr>
            <w:tcW w:w="2268" w:type="dxa"/>
            <w:vAlign w:val="center"/>
          </w:tcPr>
          <w:p>
            <w:pPr>
              <w:pStyle w:val="14"/>
            </w:pPr>
            <w:r>
              <w:t>居民反馈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工程竣工时间</w:t>
            </w:r>
          </w:p>
        </w:tc>
        <w:tc>
          <w:tcPr>
            <w:tcW w:w="2835" w:type="dxa"/>
            <w:vAlign w:val="center"/>
          </w:tcPr>
          <w:p>
            <w:pPr>
              <w:pStyle w:val="14"/>
            </w:pPr>
            <w:r>
              <w:t>在规定时间内完成改造工程</w:t>
            </w:r>
          </w:p>
        </w:tc>
        <w:tc>
          <w:tcPr>
            <w:tcW w:w="2551" w:type="dxa"/>
            <w:vAlign w:val="center"/>
          </w:tcPr>
          <w:p>
            <w:pPr>
              <w:pStyle w:val="14"/>
            </w:pPr>
            <w:r>
              <w:t>≤9月份</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工程单位成本</w:t>
            </w:r>
          </w:p>
        </w:tc>
        <w:tc>
          <w:tcPr>
            <w:tcW w:w="2835" w:type="dxa"/>
            <w:vAlign w:val="center"/>
          </w:tcPr>
          <w:p>
            <w:pPr>
              <w:pStyle w:val="14"/>
            </w:pPr>
            <w:r>
              <w:t>总费用与总面积的比例</w:t>
            </w:r>
          </w:p>
        </w:tc>
        <w:tc>
          <w:tcPr>
            <w:tcW w:w="2551" w:type="dxa"/>
            <w:vAlign w:val="center"/>
          </w:tcPr>
          <w:p>
            <w:pPr>
              <w:pStyle w:val="14"/>
            </w:pPr>
            <w:r>
              <w:t>≤2.6万元</w:t>
            </w:r>
          </w:p>
        </w:tc>
        <w:tc>
          <w:tcPr>
            <w:tcW w:w="2268" w:type="dxa"/>
            <w:vAlign w:val="center"/>
          </w:tcPr>
          <w:p>
            <w:pPr>
              <w:pStyle w:val="14"/>
            </w:pPr>
            <w: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提高工作效率</w:t>
            </w:r>
          </w:p>
        </w:tc>
        <w:tc>
          <w:tcPr>
            <w:tcW w:w="2835" w:type="dxa"/>
            <w:vAlign w:val="center"/>
          </w:tcPr>
          <w:p>
            <w:pPr>
              <w:pStyle w:val="14"/>
            </w:pPr>
            <w:r>
              <w:t>完成行政综合服务中心的建设，为居民提供服务，提高工作效率</w:t>
            </w:r>
          </w:p>
        </w:tc>
        <w:tc>
          <w:tcPr>
            <w:tcW w:w="2551" w:type="dxa"/>
            <w:vAlign w:val="center"/>
          </w:tcPr>
          <w:p>
            <w:pPr>
              <w:pStyle w:val="14"/>
            </w:pPr>
            <w:r>
              <w:t>显著提高</w:t>
            </w:r>
          </w:p>
        </w:tc>
        <w:tc>
          <w:tcPr>
            <w:tcW w:w="2268" w:type="dxa"/>
            <w:vAlign w:val="center"/>
          </w:tcPr>
          <w:p>
            <w:pPr>
              <w:pStyle w:val="14"/>
            </w:pPr>
            <w:r>
              <w:t>考核表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受益群体满意度</w:t>
            </w:r>
          </w:p>
        </w:tc>
        <w:tc>
          <w:tcPr>
            <w:tcW w:w="2835" w:type="dxa"/>
            <w:vAlign w:val="center"/>
          </w:tcPr>
          <w:p>
            <w:pPr>
              <w:pStyle w:val="14"/>
            </w:pPr>
            <w:r>
              <w:t>受益群体调查中，满意和较满意的人数占全部调查人数的比率</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24、影斜路两侧环境综合整治工程绩效目标表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仿古围墙新建、仿古门楼新建、仿古大门安装、围墙粉刷、腾退空间道路硬化；强电入地，拆除10千伏高压线、0.4千伏低压线路，敷设高压电缆、低压铝电缆及地埋线，安装高压接引箱及低压落地箱等，全面提升影斜路两侧人居环境，全面打造整洁、优美、文明、和谐的县城环境，巩固全国文明城市创建成果。</w:t>
            </w:r>
            <w:r>
              <w:tab/>
            </w:r>
            <w:r>
              <w:tab/>
            </w:r>
            <w:r>
              <w:tab/>
            </w:r>
            <w:r>
              <w:tab/>
            </w:r>
            <w:r>
              <w:tab/>
            </w:r>
            <w:r>
              <w:tab/>
            </w:r>
            <w:r>
              <w:tab/>
            </w:r>
            <w:r>
              <w:tab/>
            </w:r>
          </w:p>
          <w:p>
            <w:pPr>
              <w:pStyle w:val="14"/>
            </w:pPr>
          </w:p>
          <w:p>
            <w:pPr>
              <w:pStyle w:val="14"/>
            </w:pPr>
            <w:r>
              <w:t>2.通过对500米影斜路两侧环境综合整治，实现基础设施完好率达标、受益群体满意的目标。</w:t>
            </w:r>
            <w:r>
              <w:tab/>
            </w:r>
            <w:r>
              <w:tab/>
            </w:r>
            <w:r>
              <w:tab/>
            </w:r>
            <w:r>
              <w:tab/>
            </w:r>
            <w:r>
              <w:tab/>
            </w:r>
            <w:r>
              <w:tab/>
            </w:r>
            <w:r>
              <w:tab/>
            </w:r>
            <w:r>
              <w:tab/>
            </w:r>
          </w:p>
          <w:p>
            <w:pPr>
              <w:pStyle w:val="14"/>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影斜路两侧环境综合整治工程</w:t>
            </w:r>
          </w:p>
        </w:tc>
        <w:tc>
          <w:tcPr>
            <w:tcW w:w="2835" w:type="dxa"/>
            <w:vAlign w:val="center"/>
          </w:tcPr>
          <w:p>
            <w:pPr>
              <w:pStyle w:val="14"/>
            </w:pPr>
            <w:r>
              <w:t>进一步改善县城城市面貌，进一步提高城市环境管理。</w:t>
            </w:r>
          </w:p>
        </w:tc>
        <w:tc>
          <w:tcPr>
            <w:tcW w:w="2551" w:type="dxa"/>
            <w:vAlign w:val="center"/>
          </w:tcPr>
          <w:p>
            <w:pPr>
              <w:pStyle w:val="14"/>
            </w:pPr>
            <w:r>
              <w:t>≥500米</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工程验收合格率</w:t>
            </w:r>
          </w:p>
        </w:tc>
        <w:tc>
          <w:tcPr>
            <w:tcW w:w="2835" w:type="dxa"/>
            <w:vAlign w:val="center"/>
          </w:tcPr>
          <w:p>
            <w:pPr>
              <w:pStyle w:val="14"/>
            </w:pPr>
            <w:r>
              <w:t>2021年按期完成所有工程内容</w:t>
            </w:r>
          </w:p>
        </w:tc>
        <w:tc>
          <w:tcPr>
            <w:tcW w:w="2551" w:type="dxa"/>
            <w:vAlign w:val="center"/>
          </w:tcPr>
          <w:p>
            <w:pPr>
              <w:pStyle w:val="14"/>
            </w:pPr>
            <w:r>
              <w:t>100％</w:t>
            </w:r>
          </w:p>
        </w:tc>
        <w:tc>
          <w:tcPr>
            <w:tcW w:w="2268" w:type="dxa"/>
            <w:vAlign w:val="center"/>
          </w:tcPr>
          <w:p>
            <w:pPr>
              <w:pStyle w:val="14"/>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工程竣工时间</w:t>
            </w:r>
          </w:p>
        </w:tc>
        <w:tc>
          <w:tcPr>
            <w:tcW w:w="2835" w:type="dxa"/>
            <w:vAlign w:val="center"/>
          </w:tcPr>
          <w:p>
            <w:pPr>
              <w:pStyle w:val="14"/>
            </w:pPr>
            <w:r>
              <w:t>反映项目竣工时间的情况（2021年已竣工）</w:t>
            </w:r>
          </w:p>
        </w:tc>
        <w:tc>
          <w:tcPr>
            <w:tcW w:w="2551" w:type="dxa"/>
            <w:vAlign w:val="center"/>
          </w:tcPr>
          <w:p>
            <w:pPr>
              <w:pStyle w:val="14"/>
            </w:pPr>
            <w:r>
              <w:t>≤12月份</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2835" w:type="dxa"/>
            <w:vAlign w:val="center"/>
          </w:tcPr>
          <w:p>
            <w:pPr>
              <w:pStyle w:val="14"/>
            </w:pPr>
            <w:r>
              <w:t>反映项目成本的控制情况</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北三县环境综合整治工作</w:t>
            </w:r>
          </w:p>
        </w:tc>
        <w:tc>
          <w:tcPr>
            <w:tcW w:w="2835" w:type="dxa"/>
            <w:vAlign w:val="center"/>
          </w:tcPr>
          <w:p>
            <w:pPr>
              <w:pStyle w:val="14"/>
            </w:pPr>
            <w:r>
              <w:t>进一步提升县城环境质量，全面打造整洁、优美、文明、和谐的县城环境，全力提升社会美誉度和群众满意率。</w:t>
            </w:r>
          </w:p>
        </w:tc>
        <w:tc>
          <w:tcPr>
            <w:tcW w:w="2551" w:type="dxa"/>
            <w:vAlign w:val="center"/>
          </w:tcPr>
          <w:p>
            <w:pPr>
              <w:pStyle w:val="14"/>
            </w:pPr>
            <w:r>
              <w:t>≥95％</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居民满意度</w:t>
            </w:r>
          </w:p>
        </w:tc>
        <w:tc>
          <w:tcPr>
            <w:tcW w:w="2835" w:type="dxa"/>
            <w:vAlign w:val="center"/>
          </w:tcPr>
          <w:p>
            <w:pPr>
              <w:pStyle w:val="14"/>
            </w:pPr>
            <w:r>
              <w:t>居住环境明显提升，居民满意率高</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25、中省市直包联楼房小区公共区域环境卫生保洁、公共设施检修项目绩效目标表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pPr>
            <w:r>
              <w:t>绩效目标</w:t>
            </w:r>
          </w:p>
        </w:tc>
        <w:tc>
          <w:tcPr>
            <w:tcW w:w="12756" w:type="dxa"/>
            <w:tcBorders>
              <w:bottom w:val="single" w:color="FFFFFF" w:sz="6" w:space="0"/>
            </w:tcBorders>
            <w:vAlign w:val="center"/>
          </w:tcPr>
          <w:p>
            <w:pPr>
              <w:pStyle w:val="14"/>
            </w:pPr>
            <w:r>
              <w:t>1.通过项目的开展实现文明城市创建工作，确保达到创建全国文明县城标准，保障和谐社会的实现。</w:t>
            </w:r>
            <w:r>
              <w:tab/>
            </w:r>
            <w:r>
              <w:tab/>
            </w:r>
            <w:r>
              <w:tab/>
            </w:r>
            <w:r>
              <w:tab/>
            </w:r>
            <w:r>
              <w:tab/>
            </w:r>
            <w:r>
              <w:tab/>
            </w:r>
            <w:r>
              <w:tab/>
            </w:r>
            <w:r>
              <w:tab/>
            </w:r>
          </w:p>
          <w:p>
            <w:pPr>
              <w:pStyle w:val="14"/>
            </w:pPr>
          </w:p>
          <w:p>
            <w:pPr>
              <w:pStyle w:val="14"/>
            </w:pPr>
            <w:r>
              <w:t>2.通过创城办交办及督办单开展各项工作，确保达到创建全国文明县城标准。</w:t>
            </w:r>
            <w:r>
              <w:tab/>
            </w:r>
            <w:r>
              <w:tab/>
            </w:r>
            <w:r>
              <w:tab/>
            </w:r>
            <w:r>
              <w:tab/>
            </w:r>
            <w:r>
              <w:tab/>
            </w:r>
            <w:r>
              <w:tab/>
            </w:r>
            <w:r>
              <w:tab/>
            </w:r>
            <w:r>
              <w:tab/>
            </w:r>
          </w:p>
          <w:p>
            <w:pPr>
              <w:pStyle w:val="14"/>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2835" w:type="dxa"/>
            <w:vAlign w:val="center"/>
          </w:tcPr>
          <w:p>
            <w:pPr>
              <w:pStyle w:val="13"/>
            </w:pPr>
            <w:r>
              <w:t>绩效指标描述</w:t>
            </w:r>
          </w:p>
        </w:tc>
        <w:tc>
          <w:tcPr>
            <w:tcW w:w="2551" w:type="dxa"/>
            <w:vAlign w:val="center"/>
          </w:tcPr>
          <w:p>
            <w:pPr>
              <w:pStyle w:val="13"/>
            </w:pPr>
            <w:r>
              <w:t>指标值</w:t>
            </w:r>
          </w:p>
        </w:tc>
        <w:tc>
          <w:tcPr>
            <w:tcW w:w="2268"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创城工作完成率</w:t>
            </w:r>
          </w:p>
        </w:tc>
        <w:tc>
          <w:tcPr>
            <w:tcW w:w="2835" w:type="dxa"/>
            <w:vAlign w:val="center"/>
          </w:tcPr>
          <w:p>
            <w:pPr>
              <w:pStyle w:val="14"/>
            </w:pPr>
            <w:r>
              <w:t>实际完成的创城工作量与应完成的创城工作量的比例</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创城工作合格率</w:t>
            </w:r>
          </w:p>
        </w:tc>
        <w:tc>
          <w:tcPr>
            <w:tcW w:w="2835" w:type="dxa"/>
            <w:vAlign w:val="center"/>
          </w:tcPr>
          <w:p>
            <w:pPr>
              <w:pStyle w:val="14"/>
            </w:pPr>
            <w:r>
              <w:t>创城工作合格的工作量与总工作量的比例</w:t>
            </w:r>
          </w:p>
        </w:tc>
        <w:tc>
          <w:tcPr>
            <w:tcW w:w="2551" w:type="dxa"/>
            <w:vAlign w:val="center"/>
          </w:tcPr>
          <w:p>
            <w:pPr>
              <w:pStyle w:val="14"/>
            </w:pPr>
            <w:r>
              <w:t>100%</w:t>
            </w:r>
          </w:p>
        </w:tc>
        <w:tc>
          <w:tcPr>
            <w:tcW w:w="2268" w:type="dxa"/>
            <w:vAlign w:val="center"/>
          </w:tcPr>
          <w:p>
            <w:pPr>
              <w:pStyle w:val="14"/>
            </w:pPr>
            <w: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创城工作完成及时率</w:t>
            </w:r>
          </w:p>
        </w:tc>
        <w:tc>
          <w:tcPr>
            <w:tcW w:w="2835" w:type="dxa"/>
            <w:vAlign w:val="center"/>
          </w:tcPr>
          <w:p>
            <w:pPr>
              <w:pStyle w:val="14"/>
            </w:pPr>
            <w:r>
              <w:t>反映创城工作在规定时间内完成情况</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2835" w:type="dxa"/>
            <w:vAlign w:val="center"/>
          </w:tcPr>
          <w:p>
            <w:pPr>
              <w:pStyle w:val="14"/>
            </w:pPr>
            <w:r>
              <w:t>反映粉刷、清扫洗擦试、垃圾杂物清理、消防设施及门窗等公共区域的维修、小区电气设备检修更换等单项成本的控制情况（实际支出数/计划数）*100%</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促进全国文明县城达标</w:t>
            </w:r>
          </w:p>
        </w:tc>
        <w:tc>
          <w:tcPr>
            <w:tcW w:w="2835" w:type="dxa"/>
            <w:vAlign w:val="center"/>
          </w:tcPr>
          <w:p>
            <w:pPr>
              <w:pStyle w:val="14"/>
            </w:pPr>
            <w:r>
              <w:t>反映按照创城办交办及督办开展的各项创建全国文明县城标准指标的达标情况</w:t>
            </w:r>
          </w:p>
        </w:tc>
        <w:tc>
          <w:tcPr>
            <w:tcW w:w="2551" w:type="dxa"/>
            <w:vAlign w:val="center"/>
          </w:tcPr>
          <w:p>
            <w:pPr>
              <w:pStyle w:val="14"/>
            </w:pPr>
            <w:r>
              <w:t>促进</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居民满意度</w:t>
            </w:r>
          </w:p>
        </w:tc>
        <w:tc>
          <w:tcPr>
            <w:tcW w:w="2835" w:type="dxa"/>
            <w:vAlign w:val="center"/>
          </w:tcPr>
          <w:p>
            <w:pPr>
              <w:pStyle w:val="14"/>
            </w:pPr>
            <w:r>
              <w:t>居民满意度</w:t>
            </w:r>
          </w:p>
        </w:tc>
        <w:tc>
          <w:tcPr>
            <w:tcW w:w="2551" w:type="dxa"/>
            <w:vAlign w:val="center"/>
          </w:tcPr>
          <w:p>
            <w:pPr>
              <w:pStyle w:val="14"/>
            </w:pPr>
            <w:r>
              <w:t>≥90%</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仿宋" w:hAnsi="仿宋" w:eastAsia="仿宋" w:cs="Times New Roman"/>
          <w:sz w:val="32"/>
          <w:szCs w:val="24"/>
        </w:rPr>
      </w:pPr>
      <w:bookmarkStart w:id="0" w:name="_Toc471398468"/>
      <w:r>
        <w:rPr>
          <w:rFonts w:ascii="仿宋" w:hAnsi="仿宋" w:eastAsia="仿宋" w:cs="Times New Roman"/>
          <w:sz w:val="32"/>
          <w:szCs w:val="24"/>
        </w:rPr>
        <w:t>20</w:t>
      </w:r>
      <w:r>
        <w:rPr>
          <w:rFonts w:hint="eastAsia" w:ascii="仿宋" w:hAnsi="仿宋" w:eastAsia="仿宋" w:cs="Times New Roman"/>
          <w:sz w:val="32"/>
          <w:szCs w:val="24"/>
        </w:rPr>
        <w:t>22</w:t>
      </w:r>
      <w:r>
        <w:rPr>
          <w:rFonts w:ascii="仿宋" w:hAnsi="仿宋" w:eastAsia="仿宋" w:cs="Times New Roman"/>
          <w:sz w:val="32"/>
          <w:szCs w:val="24"/>
        </w:rPr>
        <w:t>年，我部门安排政府采购预算</w:t>
      </w:r>
      <w:r>
        <w:rPr>
          <w:rFonts w:hint="eastAsia" w:ascii="仿宋" w:hAnsi="仿宋" w:eastAsia="仿宋" w:cs="Times New Roman"/>
          <w:sz w:val="32"/>
          <w:szCs w:val="24"/>
        </w:rPr>
        <w:t>0</w:t>
      </w:r>
      <w:r>
        <w:rPr>
          <w:rFonts w:ascii="仿宋" w:hAnsi="仿宋" w:eastAsia="仿宋"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r>
        <w:rPr>
          <w:rFonts w:hint="eastAsia" w:ascii="Times New Roman" w:hAnsi="Times New Roman" w:eastAsia="仿宋_GB2312" w:cs="Times New Roman"/>
        </w:rPr>
        <w:t xml:space="preserve">      </w:t>
      </w: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部门政府采购预算</w:t>
      </w:r>
      <w:bookmarkEnd w:id="1"/>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大厂回族自治县北辰街道办事处</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pPr>
      <w:r>
        <w:rPr>
          <w:rFonts w:hint="eastAsia" w:ascii="Times New Roman" w:hAnsi="Times New Roman" w:eastAsia="仿宋_GB2312" w:cs="Times New Roman"/>
        </w:rPr>
        <w:t>注:空表列示</w:t>
      </w:r>
    </w:p>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仿宋" w:hAnsi="仿宋" w:eastAsia="仿宋" w:cs="Times New Roman"/>
          <w:sz w:val="32"/>
          <w:szCs w:val="32"/>
        </w:rPr>
      </w:pPr>
      <w:r>
        <w:rPr>
          <w:rFonts w:hint="eastAsia" w:ascii="仿宋" w:hAnsi="仿宋" w:eastAsia="仿宋" w:cs="Times New Roman"/>
          <w:sz w:val="32"/>
          <w:szCs w:val="32"/>
        </w:rPr>
        <w:t>大厂回族自治县北辰街道办事处</w:t>
      </w:r>
      <w:r>
        <w:rPr>
          <w:rFonts w:ascii="仿宋" w:hAnsi="仿宋" w:eastAsia="仿宋" w:cs="Times New Roman"/>
          <w:sz w:val="32"/>
          <w:szCs w:val="32"/>
        </w:rPr>
        <w:t>上年末固定资产金额为</w:t>
      </w:r>
      <w:r>
        <w:rPr>
          <w:rFonts w:hint="eastAsia" w:ascii="仿宋" w:hAnsi="仿宋" w:eastAsia="仿宋" w:cs="Times New Roman"/>
          <w:sz w:val="32"/>
          <w:szCs w:val="32"/>
        </w:rPr>
        <w:t>2663.29</w:t>
      </w:r>
      <w:r>
        <w:rPr>
          <w:rFonts w:ascii="仿宋" w:hAnsi="仿宋" w:eastAsia="仿宋" w:cs="Times New Roman"/>
          <w:sz w:val="32"/>
          <w:szCs w:val="32"/>
        </w:rPr>
        <w:t>万元</w:t>
      </w:r>
      <w:r>
        <w:rPr>
          <w:rFonts w:hint="eastAsia" w:ascii="仿宋" w:hAnsi="仿宋" w:eastAsia="仿宋" w:cs="Times New Roman"/>
          <w:sz w:val="32"/>
          <w:szCs w:val="32"/>
        </w:rPr>
        <w:t>（详见下表），</w:t>
      </w:r>
      <w:r>
        <w:rPr>
          <w:rFonts w:ascii="仿宋" w:hAnsi="仿宋" w:eastAsia="仿宋" w:cs="Times New Roman"/>
          <w:sz w:val="32"/>
          <w:szCs w:val="32"/>
        </w:rPr>
        <w:t>本年度我部门拟购置固定资产</w:t>
      </w:r>
      <w:r>
        <w:rPr>
          <w:rFonts w:hint="eastAsia" w:ascii="仿宋" w:hAnsi="仿宋" w:eastAsia="仿宋" w:cs="Times New Roman"/>
          <w:sz w:val="32"/>
          <w:szCs w:val="32"/>
        </w:rPr>
        <w:t>总额为5万元，</w:t>
      </w:r>
      <w:r>
        <w:rPr>
          <w:rFonts w:ascii="仿宋" w:hAnsi="仿宋" w:eastAsia="仿宋" w:cs="Times New Roman"/>
          <w:sz w:val="32"/>
          <w:szCs w:val="32"/>
        </w:rPr>
        <w:t>主要为</w:t>
      </w:r>
      <w:r>
        <w:rPr>
          <w:rFonts w:hint="eastAsia" w:ascii="仿宋" w:hAnsi="仿宋" w:eastAsia="仿宋" w:cs="Times New Roman"/>
          <w:sz w:val="32"/>
          <w:szCs w:val="32"/>
        </w:rPr>
        <w:t>办公设备、办公软件</w:t>
      </w:r>
      <w:r>
        <w:rPr>
          <w:rFonts w:ascii="仿宋" w:hAnsi="仿宋" w:eastAsia="仿宋" w:cs="Times New Roman"/>
          <w:sz w:val="32"/>
          <w:szCs w:val="32"/>
        </w:rPr>
        <w:t>等。</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大厂回族自治县县</w:t>
            </w:r>
            <w:r>
              <w:rPr>
                <w:rFonts w:ascii="仿宋" w:hAnsi="仿宋" w:eastAsia="仿宋"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大厂回族自治县北辰街道办事处</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2663.29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3779.89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1781.46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3779.89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1781.46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56.55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825.28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Times New Roman"/>
          <w:sz w:val="32"/>
          <w:szCs w:val="32"/>
        </w:rPr>
        <w:t>县</w:t>
      </w:r>
      <w:r>
        <w:rPr>
          <w:rFonts w:ascii="仿宋" w:hAnsi="仿宋" w:eastAsia="仿宋" w:cs="Times New Roman"/>
          <w:sz w:val="32"/>
          <w:szCs w:val="32"/>
        </w:rPr>
        <w:t>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w:t>
      </w:r>
      <w:r>
        <w:rPr>
          <w:rFonts w:hint="eastAsia" w:ascii="仿宋" w:hAnsi="仿宋" w:eastAsia="仿宋" w:cs="Times New Roman"/>
          <w:sz w:val="32"/>
          <w:szCs w:val="32"/>
        </w:rPr>
        <w:t>县</w:t>
      </w:r>
      <w:r>
        <w:rPr>
          <w:rFonts w:ascii="仿宋" w:hAnsi="仿宋" w:eastAsia="仿宋" w:cs="Times New Roman"/>
          <w:sz w:val="32"/>
          <w:szCs w:val="32"/>
        </w:rPr>
        <w:t>级财政预算管理的“三公”经费，是指</w:t>
      </w:r>
      <w:r>
        <w:rPr>
          <w:rFonts w:hint="eastAsia" w:ascii="仿宋" w:hAnsi="仿宋" w:eastAsia="仿宋" w:cs="Times New Roman"/>
          <w:sz w:val="32"/>
          <w:szCs w:val="32"/>
        </w:rPr>
        <w:t>县</w:t>
      </w:r>
      <w:r>
        <w:rPr>
          <w:rFonts w:ascii="仿宋" w:hAnsi="仿宋" w:eastAsia="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41</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050DD"/>
    <w:rsid w:val="000261B2"/>
    <w:rsid w:val="000D16EE"/>
    <w:rsid w:val="000D4BBF"/>
    <w:rsid w:val="000F5235"/>
    <w:rsid w:val="00100F0E"/>
    <w:rsid w:val="001250E7"/>
    <w:rsid w:val="001F687F"/>
    <w:rsid w:val="002338BD"/>
    <w:rsid w:val="002606C3"/>
    <w:rsid w:val="00262092"/>
    <w:rsid w:val="002D4ECA"/>
    <w:rsid w:val="003073D9"/>
    <w:rsid w:val="003909CD"/>
    <w:rsid w:val="00391E11"/>
    <w:rsid w:val="003A78D0"/>
    <w:rsid w:val="003E3181"/>
    <w:rsid w:val="003F44D0"/>
    <w:rsid w:val="003F732C"/>
    <w:rsid w:val="00406D17"/>
    <w:rsid w:val="00457F81"/>
    <w:rsid w:val="00487356"/>
    <w:rsid w:val="00495122"/>
    <w:rsid w:val="004A54AA"/>
    <w:rsid w:val="004D2C67"/>
    <w:rsid w:val="004E0A4F"/>
    <w:rsid w:val="00507F82"/>
    <w:rsid w:val="00511E77"/>
    <w:rsid w:val="0053255B"/>
    <w:rsid w:val="00536CE0"/>
    <w:rsid w:val="00572CD8"/>
    <w:rsid w:val="005877DD"/>
    <w:rsid w:val="00594F32"/>
    <w:rsid w:val="005E30F0"/>
    <w:rsid w:val="005F1DD6"/>
    <w:rsid w:val="00611D60"/>
    <w:rsid w:val="00631B18"/>
    <w:rsid w:val="00673DD5"/>
    <w:rsid w:val="00682F94"/>
    <w:rsid w:val="00774782"/>
    <w:rsid w:val="00781476"/>
    <w:rsid w:val="00801F3E"/>
    <w:rsid w:val="008143D8"/>
    <w:rsid w:val="00833B64"/>
    <w:rsid w:val="00853593"/>
    <w:rsid w:val="008552EF"/>
    <w:rsid w:val="008C7DC3"/>
    <w:rsid w:val="008F2064"/>
    <w:rsid w:val="00910C42"/>
    <w:rsid w:val="009308FC"/>
    <w:rsid w:val="00935655"/>
    <w:rsid w:val="009832FD"/>
    <w:rsid w:val="00A873D7"/>
    <w:rsid w:val="00AD0A7F"/>
    <w:rsid w:val="00B25D5A"/>
    <w:rsid w:val="00B80935"/>
    <w:rsid w:val="00B84667"/>
    <w:rsid w:val="00CE132A"/>
    <w:rsid w:val="00D347CC"/>
    <w:rsid w:val="00E375C8"/>
    <w:rsid w:val="00E46D39"/>
    <w:rsid w:val="00E54466"/>
    <w:rsid w:val="00E658E0"/>
    <w:rsid w:val="00E771B9"/>
    <w:rsid w:val="00ED3546"/>
    <w:rsid w:val="00EE07AC"/>
    <w:rsid w:val="00F01CFE"/>
    <w:rsid w:val="00F078E8"/>
    <w:rsid w:val="00FE5E54"/>
    <w:rsid w:val="14AE356F"/>
    <w:rsid w:val="7AFF1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uiPriority w:val="0"/>
    <w:pPr>
      <w:ind w:left="200" w:leftChars="200"/>
    </w:pPr>
    <w:rPr>
      <w:rFonts w:ascii="Times New Roman" w:hAnsi="Times New Roman" w:cs="Times New Roman"/>
      <w:szCs w:val="24"/>
    </w:rPr>
  </w:style>
  <w:style w:type="table" w:styleId="9">
    <w:name w:val="Table Grid"/>
    <w:basedOn w:val="8"/>
    <w:uiPriority w:val="0"/>
    <w:rPr>
      <w:rFonts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footnote reference"/>
    <w:qFormat/>
    <w:uiPriority w:val="0"/>
    <w:rPr>
      <w:vertAlign w:val="superscript"/>
    </w:rPr>
  </w:style>
  <w:style w:type="paragraph" w:customStyle="1" w:styleId="12">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7">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8">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9">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2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21">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22">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3">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4">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5">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6">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7">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8">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9">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1">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2">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3">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4">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5">
    <w:name w:val="TOC 2"/>
    <w:basedOn w:val="1"/>
    <w:qFormat/>
    <w:uiPriority w:val="0"/>
    <w:pPr>
      <w:widowControl/>
      <w:ind w:left="240"/>
      <w:jc w:val="left"/>
    </w:pPr>
    <w:rPr>
      <w:rFonts w:ascii="Times New Roman" w:hAnsi="Times New Roman" w:eastAsia="Times New Roman" w:cs="Times New Roman"/>
      <w:kern w:val="0"/>
      <w:sz w:val="24"/>
      <w:szCs w:val="24"/>
      <w:lang w:eastAsia="uk-UA"/>
    </w:rPr>
  </w:style>
  <w:style w:type="paragraph" w:customStyle="1" w:styleId="36">
    <w:name w:val="TOC 3"/>
    <w:basedOn w:val="1"/>
    <w:qFormat/>
    <w:uiPriority w:val="0"/>
    <w:pPr>
      <w:widowControl/>
      <w:ind w:left="480"/>
      <w:jc w:val="left"/>
    </w:pPr>
    <w:rPr>
      <w:rFonts w:ascii="Times New Roman" w:hAnsi="Times New Roman" w:eastAsia="Times New Roman" w:cs="Times New Roman"/>
      <w:kern w:val="0"/>
      <w:sz w:val="24"/>
      <w:szCs w:val="24"/>
      <w:lang w:eastAsia="uk-UA"/>
    </w:rPr>
  </w:style>
  <w:style w:type="paragraph" w:customStyle="1" w:styleId="37">
    <w:name w:val="TOC 4"/>
    <w:basedOn w:val="1"/>
    <w:qFormat/>
    <w:uiPriority w:val="0"/>
    <w:pPr>
      <w:widowControl/>
      <w:ind w:left="720"/>
      <w:jc w:val="left"/>
    </w:pPr>
    <w:rPr>
      <w:rFonts w:ascii="Times New Roman" w:hAnsi="Times New Roman" w:eastAsia="Times New Roman" w:cs="Times New Roman"/>
      <w:kern w:val="0"/>
      <w:sz w:val="24"/>
      <w:szCs w:val="24"/>
      <w:lang w:eastAsia="uk-UA"/>
    </w:rPr>
  </w:style>
  <w:style w:type="paragraph" w:customStyle="1" w:styleId="38">
    <w:name w:val="TOC 1"/>
    <w:basedOn w:val="1"/>
    <w:qFormat/>
    <w:uiPriority w:val="0"/>
    <w:pPr>
      <w:widowControl/>
      <w:spacing w:before="120"/>
      <w:ind w:firstLine="560"/>
      <w:jc w:val="left"/>
    </w:pPr>
    <w:rPr>
      <w:rFonts w:ascii="Times New Roman" w:hAnsi="Times New Roman" w:eastAsia="方正仿宋_GBK" w:cs="Times New Roman"/>
      <w:color w:val="000000"/>
      <w:kern w:val="0"/>
      <w:sz w:val="28"/>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B24C6-F148-4428-A40A-2AF576F7705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2818</Words>
  <Characters>16063</Characters>
  <Lines>133</Lines>
  <Paragraphs>37</Paragraphs>
  <TotalTime>199</TotalTime>
  <ScaleCrop>false</ScaleCrop>
  <LinksUpToDate>false</LinksUpToDate>
  <CharactersWithSpaces>18844</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2022-02-25T01:33:00Z</dcterms:created>
  <dc:creator>guest</dc:creator>
  <cp:lastModifiedBy>lenovo</cp:lastModifiedBy>
  <cp:lastPrinted>2018-01-30T06:12:00Z</cp:lastPrinted>
  <dcterms:modified xsi:type="dcterms:W3CDTF">2023-11-08T07:26:48Z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FFE9855F28FB40ACA91A960B7ABECE16</vt:lpwstr>
  </property>
</Properties>
</file>